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1053D">
      <w:pPr>
        <w:adjustRightInd w:val="0"/>
        <w:snapToGrid w:val="0"/>
        <w:spacing w:after="0" w:line="360" w:lineRule="auto"/>
        <w:jc w:val="center"/>
        <w:rPr>
          <w:rFonts w:ascii="Times New Roman" w:hAnsi="Times New Roman" w:eastAsia="黑体"/>
          <w:b/>
          <w:bCs/>
          <w:sz w:val="28"/>
          <w:szCs w:val="28"/>
        </w:rPr>
      </w:pPr>
      <w:bookmarkStart w:id="0" w:name="_Hlk208842777"/>
      <w:bookmarkEnd w:id="0"/>
      <w:r>
        <w:rPr>
          <w:rFonts w:ascii="Times New Roman" w:hAnsi="Times New Roman" w:eastAsia="宋体" w:cs="Times New Roman"/>
          <w:sz w:val="2"/>
        </w:rPr>
        <mc:AlternateContent>
          <mc:Choice Requires="wpg">
            <w:drawing>
              <wp:inline distT="0" distB="0" distL="0" distR="0">
                <wp:extent cx="5274310" cy="2540"/>
                <wp:effectExtent l="0" t="0" r="0" b="0"/>
                <wp:docPr id="3" name="Group 3"/>
                <wp:cNvGraphicFramePr/>
                <a:graphic xmlns:a="http://schemas.openxmlformats.org/drawingml/2006/main">
                  <a:graphicData uri="http://schemas.microsoft.com/office/word/2010/wordprocessingGroup">
                    <wpg:wgp>
                      <wpg:cNvGrpSpPr/>
                      <wpg:grpSpPr>
                        <a:xfrm>
                          <a:off x="0" y="0"/>
                          <a:ext cx="5274310" cy="3014"/>
                          <a:chOff x="0" y="0"/>
                          <a:chExt cx="5555615" cy="3175"/>
                        </a:xfrm>
                      </wpg:grpSpPr>
                      <wps:wsp>
                        <wps:cNvPr id="4" name="Graphic 4"/>
                        <wps:cNvSpPr/>
                        <wps:spPr>
                          <a:xfrm>
                            <a:off x="0" y="1523"/>
                            <a:ext cx="5555615" cy="1270"/>
                          </a:xfrm>
                          <a:custGeom>
                            <a:avLst/>
                            <a:gdLst/>
                            <a:ahLst/>
                            <a:cxnLst/>
                            <a:rect l="l" t="t" r="r" b="b"/>
                            <a:pathLst>
                              <a:path w="5555615">
                                <a:moveTo>
                                  <a:pt x="0" y="0"/>
                                </a:moveTo>
                                <a:lnTo>
                                  <a:pt x="5555615" y="0"/>
                                </a:lnTo>
                              </a:path>
                            </a:pathLst>
                          </a:custGeom>
                          <a:ln w="3048">
                            <a:solidFill>
                              <a:srgbClr val="0064AE"/>
                            </a:solidFill>
                            <a:prstDash val="solid"/>
                          </a:ln>
                        </wps:spPr>
                        <wps:bodyPr wrap="square" lIns="0" tIns="0" rIns="0" bIns="0" rtlCol="0">
                          <a:noAutofit/>
                        </wps:bodyPr>
                      </wps:wsp>
                    </wpg:wgp>
                  </a:graphicData>
                </a:graphic>
              </wp:inline>
            </w:drawing>
          </mc:Choice>
          <mc:Fallback>
            <w:pict>
              <v:group id="Group 3" o:spid="_x0000_s1026" o:spt="203" style="height:0.2pt;width:415.3pt;" coordsize="5555615,3175" o:gfxdata="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3Y34E1AAAAAIBAAAPAAAAAAAAAAEAIAAAACIAAABkcnMvZG93bnJl&#10;di54bWxQSwECFAAUAAAACACHTuJAWqEqxnMCAACnBQAADgAAAAAAAAABACAAAAAjAQAAZHJzL2Uy&#10;b0RvYy54bWxQSwUGAAAAAAYABgBZAQAACAYAAAAA&#10;">
                <o:lock v:ext="edit" aspectratio="f"/>
                <v:shape id="Graphic 4" o:spid="_x0000_s1026" o:spt="100" style="position:absolute;left:0;top:1523;height:1270;width:5555615;" filled="f" stroked="t" coordsize="5555615,1" o:gfxdata="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iz64ugAAANoA&#10;AAAPAAAAAAAAAAEAIAAAACIAAABkcnMvZG93bnJldi54bWxQSwECFAAUAAAACACHTuJAMy8FnjsA&#10;AAA5AAAAEAAAAAAAAAABACAAAAAJAQAAZHJzL3NoYXBleG1sLnhtbFBLBQYAAAAABgAGAFsBAACz&#10;AwAAAAA=&#10;" path="m0,0l5555615,0e">
                  <v:fill on="f" focussize="0,0"/>
                  <v:stroke weight="0.24pt" color="#0064AE" joinstyle="round"/>
                  <v:imagedata o:title=""/>
                  <o:lock v:ext="edit" aspectratio="f"/>
                  <v:textbox inset="0mm,0mm,0mm,0mm"/>
                </v:shape>
                <w10:wrap type="none"/>
                <w10:anchorlock/>
              </v:group>
            </w:pict>
          </mc:Fallback>
        </mc:AlternateContent>
      </w:r>
    </w:p>
    <w:p w14:paraId="5942D3DE">
      <w:pPr>
        <w:adjustRightInd w:val="0"/>
        <w:snapToGrid w:val="0"/>
        <w:spacing w:after="0" w:line="360" w:lineRule="auto"/>
        <w:jc w:val="center"/>
        <w:rPr>
          <w:rFonts w:ascii="Times New Roman" w:hAnsi="Times New Roman" w:eastAsia="黑体"/>
          <w:b/>
          <w:bCs/>
          <w:szCs w:val="22"/>
        </w:rPr>
      </w:pPr>
    </w:p>
    <w:p w14:paraId="73C6DC43">
      <w:pPr>
        <w:adjustRightInd w:val="0"/>
        <w:snapToGrid w:val="0"/>
        <w:spacing w:line="360" w:lineRule="auto"/>
        <w:jc w:val="center"/>
        <w:rPr>
          <w:rFonts w:ascii="Times New Roman" w:hAnsi="Times New Roman" w:eastAsia="黑体"/>
          <w:b/>
          <w:bCs/>
          <w:sz w:val="28"/>
          <w:szCs w:val="28"/>
          <w:highlight w:val="yellow"/>
        </w:rPr>
      </w:pPr>
      <w:r>
        <w:rPr>
          <w:rFonts w:hint="eastAsia" w:ascii="Times New Roman" w:hAnsi="Times New Roman" w:eastAsia="黑体"/>
          <w:b/>
          <w:bCs/>
          <w:sz w:val="28"/>
          <w:szCs w:val="28"/>
        </w:rPr>
        <w:t>NCI-H2073非小细胞肺癌细胞（STR鉴定</w:t>
      </w:r>
      <w:r>
        <w:rPr>
          <w:rFonts w:hint="eastAsia" w:ascii="Times New Roman" w:hAnsi="Times New Roman" w:eastAsia="黑体"/>
          <w:b/>
          <w:bCs/>
          <w:sz w:val="28"/>
          <w:szCs w:val="28"/>
          <w:lang w:eastAsia="zh-CN"/>
        </w:rPr>
        <w:t>）</w:t>
      </w:r>
      <w:r>
        <w:rPr>
          <w:rFonts w:hint="eastAsia" w:ascii="Times New Roman" w:hAnsi="Times New Roman" w:eastAsia="黑体"/>
          <w:b/>
          <w:bCs/>
          <w:sz w:val="28"/>
          <w:szCs w:val="28"/>
        </w:rPr>
        <w:t>说明书</w:t>
      </w:r>
    </w:p>
    <w:tbl>
      <w:tblPr>
        <w:tblStyle w:val="18"/>
        <w:tblpPr w:leftFromText="180" w:rightFromText="180" w:vertAnchor="text" w:horzAnchor="page" w:tblpX="6421" w:tblpY="390"/>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97"/>
        <w:gridCol w:w="3562"/>
      </w:tblGrid>
      <w:tr w14:paraId="7004BC6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70" w:hRule="atLeast"/>
        </w:trPr>
        <w:tc>
          <w:tcPr>
            <w:tcW w:w="897" w:type="dxa"/>
            <w:vAlign w:val="center"/>
          </w:tcPr>
          <w:p w14:paraId="2EFCF6C5">
            <w:pPr>
              <w:adjustRightInd w:val="0"/>
              <w:snapToGrid w:val="0"/>
              <w:spacing w:after="0" w:line="15" w:lineRule="atLeast"/>
              <w:jc w:val="both"/>
              <w:rPr>
                <w:rFonts w:ascii="Times New Roman" w:hAnsi="Times New Roman" w:eastAsia="宋体"/>
                <w:sz w:val="21"/>
                <w:szCs w:val="21"/>
              </w:rPr>
            </w:pPr>
            <w:r>
              <w:rPr>
                <w:rFonts w:hint="eastAsia" w:ascii="Times New Roman" w:hAnsi="Times New Roman" w:eastAsia="宋体"/>
                <w:sz w:val="21"/>
                <w:szCs w:val="21"/>
              </w:rPr>
              <w:t>货  号</w:t>
            </w:r>
          </w:p>
        </w:tc>
        <w:tc>
          <w:tcPr>
            <w:tcW w:w="3562" w:type="dxa"/>
            <w:vAlign w:val="center"/>
          </w:tcPr>
          <w:p w14:paraId="3993A3EE">
            <w:pPr>
              <w:adjustRightInd w:val="0"/>
              <w:snapToGrid w:val="0"/>
              <w:spacing w:after="0" w:line="15" w:lineRule="atLeast"/>
              <w:jc w:val="both"/>
              <w:rPr>
                <w:rFonts w:ascii="Times New Roman" w:hAnsi="Times New Roman" w:eastAsia="宋体"/>
                <w:sz w:val="21"/>
                <w:szCs w:val="21"/>
              </w:rPr>
            </w:pPr>
            <w:r>
              <w:rPr>
                <w:rFonts w:hint="eastAsia" w:ascii="Times New Roman" w:hAnsi="Times New Roman" w:eastAsia="宋体"/>
                <w:sz w:val="21"/>
                <w:szCs w:val="21"/>
              </w:rPr>
              <w:t>SZJNK-00149</w:t>
            </w:r>
          </w:p>
        </w:tc>
      </w:tr>
      <w:tr w14:paraId="668B9F0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55" w:hRule="atLeast"/>
        </w:trPr>
        <w:tc>
          <w:tcPr>
            <w:tcW w:w="897" w:type="dxa"/>
            <w:vAlign w:val="center"/>
          </w:tcPr>
          <w:p w14:paraId="00BD68B5">
            <w:pPr>
              <w:adjustRightInd w:val="0"/>
              <w:snapToGrid w:val="0"/>
              <w:spacing w:after="0" w:line="15" w:lineRule="atLeast"/>
              <w:jc w:val="both"/>
              <w:rPr>
                <w:rFonts w:ascii="Times New Roman" w:hAnsi="Times New Roman" w:eastAsia="宋体"/>
                <w:sz w:val="21"/>
                <w:szCs w:val="21"/>
              </w:rPr>
            </w:pPr>
            <w:r>
              <w:rPr>
                <w:rFonts w:hint="eastAsia" w:ascii="Times New Roman" w:hAnsi="Times New Roman" w:eastAsia="宋体"/>
                <w:sz w:val="21"/>
                <w:szCs w:val="21"/>
              </w:rPr>
              <w:t>规  格</w:t>
            </w:r>
          </w:p>
        </w:tc>
        <w:tc>
          <w:tcPr>
            <w:tcW w:w="3562" w:type="dxa"/>
            <w:vAlign w:val="center"/>
          </w:tcPr>
          <w:p w14:paraId="7D66A9C3">
            <w:pPr>
              <w:adjustRightInd w:val="0"/>
              <w:snapToGrid w:val="0"/>
              <w:spacing w:after="0" w:line="15" w:lineRule="atLeast"/>
              <w:jc w:val="both"/>
              <w:rPr>
                <w:rFonts w:ascii="Times New Roman" w:hAnsi="Times New Roman" w:eastAsia="宋体"/>
                <w:sz w:val="21"/>
                <w:szCs w:val="21"/>
              </w:rPr>
            </w:pPr>
            <w:r>
              <w:rPr>
                <w:rFonts w:hint="eastAsia" w:ascii="Times New Roman" w:hAnsi="Times New Roman" w:eastAsia="宋体"/>
                <w:sz w:val="21"/>
                <w:szCs w:val="21"/>
              </w:rPr>
              <w:t>1×10</w:t>
            </w:r>
            <w:r>
              <w:rPr>
                <w:rFonts w:hint="eastAsia" w:ascii="Times New Roman" w:hAnsi="Times New Roman" w:eastAsia="宋体"/>
                <w:sz w:val="21"/>
                <w:szCs w:val="21"/>
                <w:vertAlign w:val="superscript"/>
              </w:rPr>
              <w:t xml:space="preserve">6 </w:t>
            </w:r>
            <w:r>
              <w:rPr>
                <w:rFonts w:hint="eastAsia" w:ascii="Times New Roman" w:hAnsi="Times New Roman" w:eastAsia="宋体"/>
                <w:sz w:val="21"/>
                <w:szCs w:val="21"/>
              </w:rPr>
              <w:t>cells（1个T25瓶/2冻存管）</w:t>
            </w:r>
          </w:p>
        </w:tc>
      </w:tr>
      <w:tr w14:paraId="32ACAF9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24" w:hRule="atLeast"/>
        </w:trPr>
        <w:tc>
          <w:tcPr>
            <w:tcW w:w="897" w:type="dxa"/>
            <w:vAlign w:val="center"/>
          </w:tcPr>
          <w:p w14:paraId="15604787">
            <w:pPr>
              <w:adjustRightInd w:val="0"/>
              <w:snapToGrid w:val="0"/>
              <w:spacing w:after="0" w:line="15" w:lineRule="atLeast"/>
              <w:jc w:val="both"/>
              <w:rPr>
                <w:rFonts w:ascii="Times New Roman" w:hAnsi="Times New Roman" w:eastAsia="宋体"/>
                <w:sz w:val="21"/>
                <w:szCs w:val="21"/>
                <w:highlight w:val="none"/>
              </w:rPr>
            </w:pPr>
            <w:r>
              <w:rPr>
                <w:rFonts w:hint="eastAsia" w:ascii="Times New Roman" w:hAnsi="Times New Roman" w:eastAsia="宋体"/>
                <w:sz w:val="21"/>
                <w:szCs w:val="21"/>
                <w:highlight w:val="none"/>
              </w:rPr>
              <w:t>来  源</w:t>
            </w:r>
          </w:p>
        </w:tc>
        <w:tc>
          <w:tcPr>
            <w:tcW w:w="3562" w:type="dxa"/>
            <w:vAlign w:val="center"/>
          </w:tcPr>
          <w:p w14:paraId="29A4CF2D">
            <w:pPr>
              <w:adjustRightInd w:val="0"/>
              <w:snapToGrid w:val="0"/>
              <w:spacing w:after="0" w:line="15" w:lineRule="atLeast"/>
              <w:jc w:val="both"/>
              <w:rPr>
                <w:rFonts w:hint="eastAsia" w:ascii="Times New Roman" w:hAnsi="Times New Roman" w:eastAsia="宋体"/>
                <w:sz w:val="21"/>
                <w:szCs w:val="21"/>
                <w:highlight w:val="none"/>
                <w:lang w:eastAsia="zh-CN"/>
              </w:rPr>
            </w:pPr>
            <w:r>
              <w:rPr>
                <w:rFonts w:hint="eastAsia" w:ascii="Times New Roman" w:hAnsi="Times New Roman" w:eastAsia="宋体"/>
                <w:sz w:val="21"/>
                <w:szCs w:val="21"/>
                <w:highlight w:val="none"/>
                <w:lang w:eastAsia="zh-CN"/>
              </w:rPr>
              <w:t>肺腺癌</w:t>
            </w:r>
          </w:p>
        </w:tc>
      </w:tr>
      <w:tr w14:paraId="4D2768E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76" w:hRule="atLeast"/>
        </w:trPr>
        <w:tc>
          <w:tcPr>
            <w:tcW w:w="897" w:type="dxa"/>
            <w:vAlign w:val="center"/>
          </w:tcPr>
          <w:p w14:paraId="25D9F1B4">
            <w:pPr>
              <w:adjustRightInd w:val="0"/>
              <w:snapToGrid w:val="0"/>
              <w:spacing w:after="0" w:line="15" w:lineRule="atLeast"/>
              <w:jc w:val="both"/>
              <w:rPr>
                <w:rFonts w:ascii="Times New Roman" w:hAnsi="Times New Roman" w:eastAsia="宋体"/>
                <w:sz w:val="21"/>
                <w:szCs w:val="21"/>
                <w:highlight w:val="none"/>
              </w:rPr>
            </w:pPr>
            <w:r>
              <w:rPr>
                <w:rFonts w:hint="eastAsia" w:ascii="Times New Roman" w:hAnsi="Times New Roman" w:eastAsia="宋体"/>
                <w:sz w:val="21"/>
                <w:szCs w:val="21"/>
                <w:highlight w:val="none"/>
              </w:rPr>
              <w:t>特  征</w:t>
            </w:r>
          </w:p>
        </w:tc>
        <w:tc>
          <w:tcPr>
            <w:tcW w:w="3562" w:type="dxa"/>
            <w:vAlign w:val="center"/>
          </w:tcPr>
          <w:p w14:paraId="351A4DCC">
            <w:pPr>
              <w:adjustRightInd w:val="0"/>
              <w:snapToGrid w:val="0"/>
              <w:spacing w:after="0" w:line="15" w:lineRule="atLeast"/>
              <w:jc w:val="both"/>
              <w:rPr>
                <w:rFonts w:hint="default" w:ascii="Times New Roman" w:hAnsi="Times New Roman" w:eastAsia="宋体"/>
                <w:sz w:val="21"/>
                <w:szCs w:val="21"/>
                <w:highlight w:val="none"/>
                <w:lang w:val="en-US" w:eastAsia="zh-CN"/>
              </w:rPr>
            </w:pPr>
            <w:r>
              <w:rPr>
                <w:rFonts w:hint="eastAsia" w:ascii="Times New Roman" w:hAnsi="Times New Roman" w:eastAsia="宋体"/>
                <w:sz w:val="21"/>
                <w:szCs w:val="21"/>
                <w:highlight w:val="none"/>
                <w:lang w:val="en-US" w:eastAsia="zh-CN"/>
              </w:rPr>
              <w:t>贴壁生长</w:t>
            </w:r>
          </w:p>
        </w:tc>
      </w:tr>
      <w:tr w14:paraId="364DD46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65" w:hRule="atLeast"/>
        </w:trPr>
        <w:tc>
          <w:tcPr>
            <w:tcW w:w="897" w:type="dxa"/>
            <w:vAlign w:val="center"/>
          </w:tcPr>
          <w:p w14:paraId="7BF0E917">
            <w:pPr>
              <w:adjustRightInd w:val="0"/>
              <w:snapToGrid w:val="0"/>
              <w:spacing w:after="0" w:line="15" w:lineRule="atLeast"/>
              <w:jc w:val="both"/>
              <w:rPr>
                <w:rFonts w:ascii="Times New Roman" w:hAnsi="Times New Roman" w:eastAsia="宋体"/>
                <w:sz w:val="21"/>
                <w:szCs w:val="21"/>
                <w:highlight w:val="none"/>
              </w:rPr>
            </w:pPr>
            <w:r>
              <w:rPr>
                <w:rFonts w:hint="eastAsia" w:ascii="Times New Roman" w:hAnsi="Times New Roman" w:eastAsia="宋体"/>
                <w:sz w:val="21"/>
                <w:szCs w:val="21"/>
                <w:highlight w:val="none"/>
              </w:rPr>
              <w:t>培养基</w:t>
            </w:r>
          </w:p>
        </w:tc>
        <w:tc>
          <w:tcPr>
            <w:tcW w:w="3562" w:type="dxa"/>
            <w:vAlign w:val="center"/>
          </w:tcPr>
          <w:p w14:paraId="65E5A73E">
            <w:pPr>
              <w:adjustRightInd w:val="0"/>
              <w:snapToGrid w:val="0"/>
              <w:spacing w:after="0" w:line="15" w:lineRule="atLeast"/>
              <w:jc w:val="both"/>
              <w:rPr>
                <w:rFonts w:ascii="Times New Roman" w:hAnsi="Times New Roman" w:eastAsia="宋体"/>
                <w:sz w:val="21"/>
                <w:szCs w:val="21"/>
                <w:highlight w:val="none"/>
              </w:rPr>
            </w:pPr>
            <w:r>
              <w:rPr>
                <w:rFonts w:hint="eastAsia" w:ascii="Times New Roman" w:hAnsi="Times New Roman" w:eastAsia="宋体"/>
                <w:sz w:val="21"/>
                <w:szCs w:val="21"/>
                <w:highlight w:val="none"/>
              </w:rPr>
              <w:t>NCI-H2073</w:t>
            </w:r>
            <w:r>
              <w:rPr>
                <w:rFonts w:ascii="Times New Roman" w:hAnsi="Times New Roman" w:eastAsia="宋体"/>
                <w:sz w:val="21"/>
                <w:szCs w:val="21"/>
                <w:highlight w:val="none"/>
              </w:rPr>
              <w:t>细胞</w:t>
            </w:r>
            <w:r>
              <w:rPr>
                <w:rFonts w:hint="eastAsia" w:ascii="Times New Roman" w:hAnsi="Times New Roman" w:eastAsia="宋体"/>
                <w:sz w:val="21"/>
                <w:szCs w:val="21"/>
                <w:highlight w:val="none"/>
              </w:rPr>
              <w:t>专用培养基（货号： SZJNK-00149-001）</w:t>
            </w:r>
          </w:p>
        </w:tc>
      </w:tr>
    </w:tbl>
    <w:p w14:paraId="62D98BCA">
      <w:pPr>
        <w:adjustRightInd w:val="0"/>
        <w:snapToGrid w:val="0"/>
        <w:spacing w:after="0" w:line="360" w:lineRule="auto"/>
        <w:jc w:val="center"/>
        <w:rPr>
          <w:rFonts w:ascii="Times New Roman" w:hAnsi="Times New Roman" w:eastAsia="黑体"/>
          <w:b/>
          <w:bCs/>
          <w:szCs w:val="22"/>
          <w:highlight w:val="none"/>
        </w:rPr>
      </w:pPr>
      <w:r>
        <w:rPr>
          <w:rFonts w:hint="eastAsia" w:ascii="Times New Roman" w:hAnsi="Times New Roman" w:eastAsia="宋体"/>
          <w:highlight w:val="none"/>
        </w:rPr>
        <w:t xml:space="preserve"> </w:t>
      </w:r>
    </w:p>
    <w:p w14:paraId="4ED4BC91">
      <w:pPr>
        <w:adjustRightInd w:val="0"/>
        <w:snapToGrid w:val="0"/>
        <w:spacing w:line="15" w:lineRule="atLeast"/>
        <w:jc w:val="both"/>
        <w:rPr>
          <w:rFonts w:ascii="Times New Roman" w:hAnsi="Times New Roman" w:eastAsia="宋体"/>
          <w:highlight w:val="none"/>
        </w:rPr>
      </w:pPr>
    </w:p>
    <w:p w14:paraId="5252EE00">
      <w:pPr>
        <w:tabs>
          <w:tab w:val="left" w:pos="5388"/>
        </w:tabs>
        <w:adjustRightInd w:val="0"/>
        <w:snapToGrid w:val="0"/>
        <w:spacing w:after="0" w:line="360" w:lineRule="auto"/>
        <w:rPr>
          <w:rFonts w:ascii="Times New Roman" w:hAnsi="Times New Roman" w:eastAsia="黑体"/>
          <w:b/>
          <w:bCs/>
          <w:sz w:val="28"/>
          <w:szCs w:val="28"/>
          <w:highlight w:val="none"/>
        </w:rPr>
        <w:sectPr>
          <w:headerReference r:id="rId5" w:type="default"/>
          <w:footerReference r:id="rId6" w:type="default"/>
          <w:pgSz w:w="11906" w:h="16838"/>
          <w:pgMar w:top="1440" w:right="1800" w:bottom="1440" w:left="1800" w:header="851" w:footer="992" w:gutter="0"/>
          <w:cols w:space="425" w:num="1"/>
          <w:docGrid w:type="lines" w:linePitch="312" w:charSpace="0"/>
        </w:sectPr>
      </w:pPr>
      <w:r>
        <w:rPr>
          <w:rFonts w:ascii="Times New Roman" w:hAnsi="Times New Roman" w:eastAsia="黑体"/>
          <w:b/>
          <w:bCs/>
          <w:sz w:val="28"/>
          <w:szCs w:val="28"/>
          <w:highlight w:val="none"/>
        </w:rPr>
        <w:tab/>
      </w:r>
    </w:p>
    <w:p w14:paraId="52816258">
      <w:pPr>
        <w:adjustRightInd w:val="0"/>
        <w:snapToGrid w:val="0"/>
        <w:spacing w:before="156" w:beforeLines="50" w:after="156" w:afterLines="50" w:line="240" w:lineRule="auto"/>
        <w:rPr>
          <w:rFonts w:hint="eastAsia" w:ascii="黑体" w:hAnsi="黑体" w:eastAsia="黑体"/>
          <w:sz w:val="28"/>
          <w:szCs w:val="28"/>
          <w:highlight w:val="none"/>
        </w:rPr>
      </w:pPr>
      <w:bookmarkStart w:id="1" w:name="OLE_LINK1"/>
      <w:r>
        <w:rPr>
          <w:rFonts w:hint="eastAsia" w:ascii="黑体" w:hAnsi="黑体" w:eastAsia="黑体"/>
          <w:sz w:val="28"/>
          <w:szCs w:val="28"/>
          <w:highlight w:val="none"/>
        </w:rPr>
        <w:t>一、基本信息</w:t>
      </w:r>
    </w:p>
    <w:bookmarkEnd w:id="1"/>
    <w:tbl>
      <w:tblPr>
        <w:tblStyle w:val="18"/>
        <w:tblW w:w="93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215"/>
      </w:tblGrid>
      <w:tr w14:paraId="09EA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119" w:type="dxa"/>
          </w:tcPr>
          <w:p w14:paraId="48A6BCD5">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中文名称</w:t>
            </w:r>
          </w:p>
        </w:tc>
        <w:tc>
          <w:tcPr>
            <w:tcW w:w="7215" w:type="dxa"/>
          </w:tcPr>
          <w:p w14:paraId="3FA722AD">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非小细胞肺癌细胞</w:t>
            </w:r>
          </w:p>
        </w:tc>
      </w:tr>
      <w:tr w14:paraId="5B0A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119" w:type="dxa"/>
          </w:tcPr>
          <w:p w14:paraId="7695CA5D">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别称</w:t>
            </w:r>
          </w:p>
        </w:tc>
        <w:tc>
          <w:tcPr>
            <w:tcW w:w="7215" w:type="dxa"/>
          </w:tcPr>
          <w:p w14:paraId="6B8150F0">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NCI-H2073</w:t>
            </w:r>
          </w:p>
        </w:tc>
      </w:tr>
      <w:tr w14:paraId="77CB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19" w:type="dxa"/>
          </w:tcPr>
          <w:p w14:paraId="4CD1CAFF">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细胞货号</w:t>
            </w:r>
          </w:p>
        </w:tc>
        <w:tc>
          <w:tcPr>
            <w:tcW w:w="7215" w:type="dxa"/>
          </w:tcPr>
          <w:p w14:paraId="27656477">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SZJNK-00149</w:t>
            </w:r>
          </w:p>
        </w:tc>
      </w:tr>
      <w:tr w14:paraId="3FFE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2119" w:type="dxa"/>
          </w:tcPr>
          <w:p w14:paraId="6796271B">
            <w:pPr>
              <w:widowControl/>
              <w:adjustRightInd w:val="0"/>
              <w:snapToGrid w:val="0"/>
              <w:spacing w:before="624" w:beforeLines="200"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细胞背景</w:t>
            </w:r>
          </w:p>
        </w:tc>
        <w:tc>
          <w:tcPr>
            <w:tcW w:w="7215" w:type="dxa"/>
          </w:tcPr>
          <w:p w14:paraId="06673238">
            <w:pPr>
              <w:adjustRightInd w:val="0"/>
              <w:snapToGrid w:val="0"/>
              <w:spacing w:after="0" w:line="15" w:lineRule="atLeast"/>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NCH-2073[H2073]是一种细胞系,表现为上皮形态,从一个47岁的白人女性患者的肺中分离出来，该患者被诊断为3A期非小细胞肺癌（腺癌），并且有吸烟史，呈现上皮样形态，是一种贴壁生长的细胞类型。NCI-H2073细胞系在癌症研究中有着广泛的应用，包括药物筛选、病理机制研究以及作为3D细胞培养模型等。例如，在研究针对EGFR Exon 20插入突变的非小细胞肺癌的治疗方法时，NCI-H2073细胞系被用于评估药物Osimertinib的活性。对于理解疾病的发病机制以及开发新的治疗方法具有重要的科研价值。</w:t>
            </w:r>
          </w:p>
        </w:tc>
      </w:tr>
      <w:tr w14:paraId="63649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119" w:type="dxa"/>
          </w:tcPr>
          <w:p w14:paraId="191E7C3B">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细胞形态</w:t>
            </w:r>
          </w:p>
        </w:tc>
        <w:tc>
          <w:tcPr>
            <w:tcW w:w="7215" w:type="dxa"/>
          </w:tcPr>
          <w:p w14:paraId="419099AF">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上皮细胞样</w:t>
            </w:r>
          </w:p>
        </w:tc>
      </w:tr>
      <w:tr w14:paraId="72F6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119" w:type="dxa"/>
          </w:tcPr>
          <w:p w14:paraId="24C95CC6">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供体来源</w:t>
            </w:r>
          </w:p>
        </w:tc>
        <w:tc>
          <w:tcPr>
            <w:tcW w:w="7215" w:type="dxa"/>
          </w:tcPr>
          <w:p w14:paraId="5BF8CDA7">
            <w:pPr>
              <w:widowControl/>
              <w:spacing w:after="0" w:line="240" w:lineRule="auto"/>
              <w:jc w:val="both"/>
              <w:rPr>
                <w:rFonts w:hint="default" w:ascii="Times New Roman" w:hAnsi="Times New Roman" w:eastAsia="宋体"/>
                <w:sz w:val="20"/>
                <w:szCs w:val="20"/>
                <w:highlight w:val="none"/>
                <w:lang w:val="en-US" w:eastAsia="zh-CN"/>
              </w:rPr>
            </w:pPr>
            <w:r>
              <w:rPr>
                <w:rFonts w:hint="eastAsia" w:ascii="Times New Roman" w:hAnsi="Times New Roman" w:eastAsia="宋体"/>
                <w:sz w:val="20"/>
                <w:szCs w:val="20"/>
                <w:highlight w:val="none"/>
                <w:lang w:val="en-US" w:eastAsia="zh-CN"/>
              </w:rPr>
              <w:t>女性；47岁</w:t>
            </w:r>
          </w:p>
        </w:tc>
      </w:tr>
      <w:tr w14:paraId="7825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119" w:type="dxa"/>
          </w:tcPr>
          <w:p w14:paraId="7130723F">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细胞类型</w:t>
            </w:r>
          </w:p>
        </w:tc>
        <w:tc>
          <w:tcPr>
            <w:tcW w:w="7215" w:type="dxa"/>
          </w:tcPr>
          <w:p w14:paraId="6A9BDAC9">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肿瘤细胞</w:t>
            </w:r>
          </w:p>
        </w:tc>
      </w:tr>
      <w:tr w14:paraId="5DE7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119" w:type="dxa"/>
          </w:tcPr>
          <w:p w14:paraId="4B05C53D">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收录</w:t>
            </w:r>
          </w:p>
        </w:tc>
        <w:tc>
          <w:tcPr>
            <w:tcW w:w="7215" w:type="dxa"/>
          </w:tcPr>
          <w:p w14:paraId="376CA448">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ATCC</w:t>
            </w:r>
          </w:p>
        </w:tc>
      </w:tr>
      <w:tr w14:paraId="47ECF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119" w:type="dxa"/>
          </w:tcPr>
          <w:p w14:paraId="06C14CD3">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培养条件</w:t>
            </w:r>
          </w:p>
        </w:tc>
        <w:tc>
          <w:tcPr>
            <w:tcW w:w="7215" w:type="dxa"/>
          </w:tcPr>
          <w:p w14:paraId="40AD0030">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37℃；5% CO</w:t>
            </w:r>
            <w:r>
              <w:rPr>
                <w:rFonts w:hint="eastAsia" w:ascii="Times New Roman" w:hAnsi="Times New Roman" w:eastAsia="宋体"/>
                <w:sz w:val="20"/>
                <w:szCs w:val="20"/>
                <w:highlight w:val="none"/>
                <w:vertAlign w:val="subscript"/>
              </w:rPr>
              <w:t>2</w:t>
            </w:r>
            <w:r>
              <w:rPr>
                <w:rFonts w:hint="eastAsia" w:ascii="Times New Roman" w:hAnsi="Times New Roman" w:eastAsia="宋体"/>
                <w:sz w:val="20"/>
                <w:szCs w:val="20"/>
                <w:highlight w:val="none"/>
              </w:rPr>
              <w:t>；饱和湿度</w:t>
            </w:r>
          </w:p>
        </w:tc>
      </w:tr>
      <w:tr w14:paraId="2007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119" w:type="dxa"/>
          </w:tcPr>
          <w:p w14:paraId="6952916E">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培养体系</w:t>
            </w:r>
          </w:p>
        </w:tc>
        <w:tc>
          <w:tcPr>
            <w:tcW w:w="7215" w:type="dxa"/>
          </w:tcPr>
          <w:p w14:paraId="2B5CBE92">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NCI-H2073专用培养基（货号：SZJNK-00149-001）</w:t>
            </w:r>
          </w:p>
        </w:tc>
      </w:tr>
      <w:tr w14:paraId="3BA5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119" w:type="dxa"/>
          </w:tcPr>
          <w:p w14:paraId="5FDEFEB1">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倍增时间</w:t>
            </w:r>
          </w:p>
        </w:tc>
        <w:tc>
          <w:tcPr>
            <w:tcW w:w="7215" w:type="dxa"/>
          </w:tcPr>
          <w:p w14:paraId="08DDAF96">
            <w:pPr>
              <w:widowControl/>
              <w:spacing w:after="0" w:line="240" w:lineRule="auto"/>
              <w:jc w:val="both"/>
              <w:rPr>
                <w:rFonts w:hint="default" w:ascii="Times New Roman" w:hAnsi="Times New Roman" w:eastAsia="宋体"/>
                <w:sz w:val="20"/>
                <w:szCs w:val="20"/>
                <w:highlight w:val="none"/>
                <w:lang w:val="en-US" w:eastAsia="zh-CN"/>
              </w:rPr>
            </w:pPr>
            <w:r>
              <w:rPr>
                <w:rFonts w:hint="eastAsia" w:ascii="Times New Roman" w:hAnsi="Times New Roman" w:eastAsia="宋体"/>
                <w:sz w:val="20"/>
                <w:szCs w:val="20"/>
                <w:highlight w:val="none"/>
                <w:lang w:val="en-US" w:eastAsia="zh-CN"/>
              </w:rPr>
              <w:t>约45.3 hours</w:t>
            </w:r>
          </w:p>
        </w:tc>
      </w:tr>
      <w:tr w14:paraId="04CB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2119" w:type="dxa"/>
          </w:tcPr>
          <w:p w14:paraId="5F08B15D">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sz w:val="20"/>
                <w:szCs w:val="20"/>
                <w:highlight w:val="none"/>
              </w:rPr>
              <w:t>冻存条件</w:t>
            </w:r>
          </w:p>
        </w:tc>
        <w:tc>
          <w:tcPr>
            <w:tcW w:w="7215" w:type="dxa"/>
          </w:tcPr>
          <w:p w14:paraId="6B8913D9">
            <w:pPr>
              <w:widowControl/>
              <w:spacing w:after="0" w:line="240" w:lineRule="auto"/>
              <w:jc w:val="both"/>
              <w:rPr>
                <w:rFonts w:ascii="Times New Roman" w:hAnsi="Times New Roman" w:eastAsia="宋体"/>
                <w:sz w:val="20"/>
                <w:szCs w:val="20"/>
                <w:highlight w:val="none"/>
              </w:rPr>
            </w:pPr>
            <w:r>
              <w:rPr>
                <w:rFonts w:ascii="Times New Roman" w:hAnsi="Times New Roman" w:eastAsia="宋体"/>
                <w:sz w:val="20"/>
                <w:szCs w:val="20"/>
                <w:highlight w:val="none"/>
              </w:rPr>
              <w:t>冻存液</w:t>
            </w:r>
            <w:r>
              <w:rPr>
                <w:rFonts w:hint="eastAsia" w:ascii="Times New Roman" w:hAnsi="Times New Roman" w:eastAsia="宋体"/>
                <w:sz w:val="20"/>
                <w:szCs w:val="20"/>
                <w:highlight w:val="none"/>
              </w:rPr>
              <w:t>：</w:t>
            </w:r>
            <w:r>
              <w:rPr>
                <w:rFonts w:ascii="Times New Roman" w:hAnsi="Times New Roman" w:eastAsia="宋体"/>
                <w:sz w:val="20"/>
                <w:szCs w:val="20"/>
                <w:highlight w:val="none"/>
              </w:rPr>
              <w:t>5</w:t>
            </w:r>
            <w:r>
              <w:rPr>
                <w:rFonts w:hint="eastAsia" w:ascii="Times New Roman" w:hAnsi="Times New Roman" w:eastAsia="宋体"/>
                <w:sz w:val="20"/>
                <w:szCs w:val="20"/>
                <w:highlight w:val="none"/>
              </w:rPr>
              <w:t>0</w:t>
            </w:r>
            <w:r>
              <w:rPr>
                <w:rFonts w:ascii="Times New Roman" w:hAnsi="Times New Roman" w:eastAsia="宋体"/>
                <w:sz w:val="20"/>
                <w:szCs w:val="20"/>
                <w:highlight w:val="none"/>
              </w:rPr>
              <w:t xml:space="preserve">% 基础培养基 + 40% FBS + </w:t>
            </w:r>
            <w:r>
              <w:rPr>
                <w:rFonts w:hint="eastAsia" w:ascii="Times New Roman" w:hAnsi="Times New Roman" w:eastAsia="宋体"/>
                <w:sz w:val="20"/>
                <w:szCs w:val="20"/>
                <w:highlight w:val="none"/>
              </w:rPr>
              <w:t>10</w:t>
            </w:r>
            <w:r>
              <w:rPr>
                <w:rFonts w:ascii="Times New Roman" w:hAnsi="Times New Roman" w:eastAsia="宋体"/>
                <w:sz w:val="20"/>
                <w:szCs w:val="20"/>
                <w:highlight w:val="none"/>
              </w:rPr>
              <w:t>% DMSO；液氮</w:t>
            </w:r>
          </w:p>
        </w:tc>
      </w:tr>
      <w:tr w14:paraId="3061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2119" w:type="dxa"/>
            <w:vAlign w:val="center"/>
          </w:tcPr>
          <w:p w14:paraId="0B5E229F">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cs="宋体"/>
                <w:sz w:val="20"/>
                <w:szCs w:val="20"/>
                <w:highlight w:val="none"/>
              </w:rPr>
              <w:t>细胞活力</w:t>
            </w:r>
          </w:p>
        </w:tc>
        <w:tc>
          <w:tcPr>
            <w:tcW w:w="7215" w:type="dxa"/>
            <w:vAlign w:val="center"/>
          </w:tcPr>
          <w:p w14:paraId="3562F518">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台盼蓝染色</w:t>
            </w:r>
          </w:p>
        </w:tc>
      </w:tr>
      <w:tr w14:paraId="594C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2119" w:type="dxa"/>
            <w:vAlign w:val="center"/>
          </w:tcPr>
          <w:p w14:paraId="25280BCC">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cs="宋体"/>
                <w:sz w:val="20"/>
                <w:szCs w:val="20"/>
                <w:highlight w:val="none"/>
              </w:rPr>
              <w:t>无菌检验</w:t>
            </w:r>
          </w:p>
        </w:tc>
        <w:tc>
          <w:tcPr>
            <w:tcW w:w="7215" w:type="dxa"/>
            <w:vAlign w:val="center"/>
          </w:tcPr>
          <w:p w14:paraId="0C594F87">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cs="宋体"/>
                <w:sz w:val="20"/>
                <w:szCs w:val="20"/>
                <w:highlight w:val="none"/>
              </w:rPr>
              <w:t>阴性（√）；阳性（ ）</w:t>
            </w:r>
          </w:p>
        </w:tc>
      </w:tr>
      <w:tr w14:paraId="5548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119" w:type="dxa"/>
            <w:vAlign w:val="center"/>
          </w:tcPr>
          <w:p w14:paraId="6DA088AE">
            <w:pPr>
              <w:widowControl/>
              <w:spacing w:after="0" w:line="240" w:lineRule="auto"/>
              <w:jc w:val="center"/>
              <w:rPr>
                <w:rFonts w:ascii="Times New Roman" w:hAnsi="Times New Roman" w:eastAsia="宋体"/>
                <w:sz w:val="20"/>
                <w:szCs w:val="20"/>
                <w:highlight w:val="none"/>
              </w:rPr>
            </w:pPr>
            <w:r>
              <w:rPr>
                <w:rFonts w:hint="eastAsia" w:ascii="Times New Roman" w:hAnsi="Times New Roman" w:eastAsia="宋体" w:cs="宋体"/>
                <w:sz w:val="20"/>
                <w:szCs w:val="20"/>
                <w:highlight w:val="none"/>
              </w:rPr>
              <w:t>支原体检验</w:t>
            </w:r>
          </w:p>
        </w:tc>
        <w:tc>
          <w:tcPr>
            <w:tcW w:w="7215" w:type="dxa"/>
            <w:vAlign w:val="center"/>
          </w:tcPr>
          <w:p w14:paraId="42A88022">
            <w:pPr>
              <w:widowControl/>
              <w:spacing w:after="0" w:line="240" w:lineRule="auto"/>
              <w:jc w:val="both"/>
              <w:rPr>
                <w:rFonts w:ascii="Times New Roman" w:hAnsi="Times New Roman" w:eastAsia="宋体"/>
                <w:sz w:val="20"/>
                <w:szCs w:val="20"/>
                <w:highlight w:val="none"/>
              </w:rPr>
            </w:pPr>
            <w:r>
              <w:rPr>
                <w:rFonts w:hint="eastAsia" w:ascii="Times New Roman" w:hAnsi="Times New Roman" w:eastAsia="宋体" w:cs="宋体"/>
                <w:sz w:val="20"/>
                <w:szCs w:val="20"/>
                <w:highlight w:val="none"/>
              </w:rPr>
              <w:t>阴性（√）；阳性（ ）</w:t>
            </w:r>
          </w:p>
        </w:tc>
      </w:tr>
    </w:tbl>
    <w:p w14:paraId="58AA83F4">
      <w:pPr>
        <w:adjustRightInd w:val="0"/>
        <w:snapToGrid w:val="0"/>
        <w:spacing w:after="0" w:line="240" w:lineRule="auto"/>
        <w:rPr>
          <w:rFonts w:hint="eastAsia" w:ascii="黑体" w:hAnsi="黑体" w:eastAsia="黑体"/>
          <w:b/>
          <w:bCs/>
          <w:sz w:val="30"/>
          <w:szCs w:val="30"/>
          <w:highlight w:val="none"/>
        </w:rPr>
      </w:pPr>
    </w:p>
    <w:p w14:paraId="2095053A">
      <w:pPr>
        <w:adjustRightInd w:val="0"/>
        <w:snapToGrid w:val="0"/>
        <w:spacing w:before="156" w:beforeLines="50" w:after="156" w:afterLines="50" w:line="240" w:lineRule="auto"/>
        <w:rPr>
          <w:rFonts w:hint="eastAsia" w:ascii="黑体" w:hAnsi="黑体" w:eastAsia="黑体"/>
          <w:sz w:val="28"/>
          <w:szCs w:val="28"/>
          <w:highlight w:val="none"/>
        </w:rPr>
      </w:pPr>
    </w:p>
    <w:p w14:paraId="0FF656E4">
      <w:pPr>
        <w:adjustRightInd w:val="0"/>
        <w:snapToGrid w:val="0"/>
        <w:spacing w:before="156" w:beforeLines="50" w:after="156" w:afterLines="50" w:line="240" w:lineRule="auto"/>
        <w:rPr>
          <w:rFonts w:hint="eastAsia" w:ascii="黑体" w:hAnsi="黑体" w:eastAsia="黑体"/>
          <w:sz w:val="28"/>
          <w:szCs w:val="28"/>
          <w:highlight w:val="none"/>
        </w:rPr>
      </w:pPr>
      <w:r>
        <w:rPr>
          <w:rFonts w:hint="eastAsia" w:ascii="黑体" w:hAnsi="黑体" w:eastAsia="黑体"/>
          <w:sz w:val="28"/>
          <w:szCs w:val="28"/>
          <w:highlight w:val="none"/>
        </w:rPr>
        <w:t>二、STR鉴定</w:t>
      </w:r>
    </w:p>
    <w:p w14:paraId="787033FA">
      <w:pPr>
        <w:rPr>
          <w:rFonts w:hint="eastAsia" w:ascii="宋体" w:hAnsi="黑体" w:eastAsia="宋体"/>
          <w:b/>
          <w:bCs/>
          <w:sz w:val="24"/>
          <w:highlight w:val="none"/>
        </w:rPr>
      </w:pPr>
      <w:r>
        <w:rPr>
          <w:rFonts w:hint="eastAsia" w:ascii="宋体" w:hAnsi="黑体" w:eastAsia="宋体"/>
          <w:b/>
          <w:bCs/>
          <w:sz w:val="24"/>
          <w:highlight w:val="none"/>
        </w:rPr>
        <w:t>1. 材料处理和检验方法</w:t>
      </w:r>
    </w:p>
    <w:p w14:paraId="03870525">
      <w:pPr>
        <w:ind w:firstLine="400" w:firstLineChars="200"/>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取适量的NCI-H207</w:t>
      </w:r>
      <w:r>
        <w:rPr>
          <w:rFonts w:hint="eastAsia" w:ascii="Times New Roman" w:hAnsi="Times New Roman" w:eastAsia="宋体"/>
          <w:sz w:val="20"/>
          <w:szCs w:val="20"/>
          <w:highlight w:val="none"/>
          <w:lang w:val="en-US" w:eastAsia="zh-CN"/>
        </w:rPr>
        <w:t>3</w:t>
      </w:r>
      <w:r>
        <w:rPr>
          <w:rFonts w:hint="eastAsia" w:ascii="Times New Roman" w:hAnsi="Times New Roman" w:eastAsia="宋体"/>
          <w:sz w:val="20"/>
          <w:szCs w:val="20"/>
          <w:highlight w:val="none"/>
        </w:rPr>
        <w:t>细胞，用Axygen的基因组抽提试剂盒提取DNA，采用VeriFiler</w:t>
      </w:r>
      <w:r>
        <w:rPr>
          <w:rFonts w:hint="eastAsia" w:ascii="Times New Roman" w:hAnsi="Times New Roman" w:eastAsia="宋体"/>
          <w:sz w:val="20"/>
          <w:szCs w:val="20"/>
          <w:highlight w:val="none"/>
          <w:vertAlign w:val="superscript"/>
        </w:rPr>
        <w:t>TM</w:t>
      </w:r>
      <w:r>
        <w:rPr>
          <w:rFonts w:hint="eastAsia" w:ascii="Times New Roman" w:hAnsi="Times New Roman" w:eastAsia="宋体"/>
          <w:sz w:val="20"/>
          <w:szCs w:val="20"/>
          <w:highlight w:val="none"/>
        </w:rPr>
        <w:t xml:space="preserve"> Plus PCR Reagents扩增试剂盒扩增，在ABI 3500XL型遗传分析仪上对STR位点和性别基因Amelogenin进行检测。</w:t>
      </w:r>
    </w:p>
    <w:p w14:paraId="6DDD11B7">
      <w:pPr>
        <w:rPr>
          <w:rFonts w:hint="eastAsia" w:ascii="宋体" w:hAnsi="黑体" w:eastAsia="宋体"/>
          <w:b/>
          <w:bCs/>
          <w:sz w:val="24"/>
          <w:highlight w:val="none"/>
        </w:rPr>
      </w:pPr>
      <w:r>
        <w:rPr>
          <w:rFonts w:hint="eastAsia" w:ascii="宋体" w:hAnsi="黑体" w:eastAsia="宋体"/>
          <w:b/>
          <w:bCs/>
          <w:sz w:val="24"/>
          <w:highlight w:val="none"/>
        </w:rPr>
        <w:t>2. 检验结果</w:t>
      </w:r>
    </w:p>
    <w:tbl>
      <w:tblPr>
        <w:tblStyle w:val="42"/>
        <w:tblpPr w:leftFromText="180" w:rightFromText="180" w:vertAnchor="text" w:horzAnchor="margin" w:tblpXSpec="center" w:tblpY="49"/>
        <w:tblW w:w="8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23" w:type="dxa"/>
          <w:bottom w:w="0" w:type="dxa"/>
          <w:right w:w="108" w:type="dxa"/>
        </w:tblCellMar>
      </w:tblPr>
      <w:tblGrid>
        <w:gridCol w:w="1527"/>
        <w:gridCol w:w="1387"/>
        <w:gridCol w:w="2174"/>
        <w:gridCol w:w="1430"/>
        <w:gridCol w:w="1606"/>
      </w:tblGrid>
      <w:tr w14:paraId="23A3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23" w:type="dxa"/>
            <w:bottom w:w="0" w:type="dxa"/>
            <w:right w:w="108" w:type="dxa"/>
          </w:tblCellMar>
        </w:tblPrEx>
        <w:trPr>
          <w:trHeight w:val="520" w:hRule="atLeast"/>
        </w:trPr>
        <w:tc>
          <w:tcPr>
            <w:tcW w:w="1527" w:type="dxa"/>
            <w:vAlign w:val="center"/>
          </w:tcPr>
          <w:p w14:paraId="54FD78F0">
            <w:pPr>
              <w:widowControl/>
              <w:spacing w:before="280" w:beforeAutospacing="1" w:after="280" w:afterAutospacing="1" w:line="240" w:lineRule="auto"/>
              <w:jc w:val="center"/>
              <w:rPr>
                <w:rFonts w:hint="eastAsia" w:ascii="微软雅黑" w:hAnsi="微软雅黑" w:eastAsia="微软雅黑" w:cs="微软雅黑"/>
                <w:kern w:val="0"/>
                <w:szCs w:val="22"/>
                <w:highlight w:val="none"/>
                <w14:ligatures w14:val="none"/>
              </w:rPr>
            </w:pPr>
            <w:r>
              <w:rPr>
                <w:rFonts w:ascii="微软雅黑" w:hAnsi="微软雅黑" w:eastAsia="微软雅黑" w:cs="微软雅黑"/>
                <w:b/>
                <w:color w:val="000000"/>
                <w:kern w:val="0"/>
                <w:szCs w:val="22"/>
                <w:highlight w:val="none"/>
                <w14:ligatures w14:val="none"/>
              </w:rPr>
              <w:t>多等位基因</w:t>
            </w:r>
          </w:p>
        </w:tc>
        <w:tc>
          <w:tcPr>
            <w:tcW w:w="1387" w:type="dxa"/>
            <w:vAlign w:val="center"/>
          </w:tcPr>
          <w:p w14:paraId="1B1578EA">
            <w:pPr>
              <w:widowControl/>
              <w:spacing w:before="280" w:beforeAutospacing="1" w:after="280" w:afterAutospacing="1" w:line="240" w:lineRule="auto"/>
              <w:jc w:val="center"/>
              <w:rPr>
                <w:rFonts w:hint="eastAsia" w:ascii="微软雅黑" w:hAnsi="微软雅黑" w:eastAsia="微软雅黑" w:cs="微软雅黑"/>
                <w:kern w:val="0"/>
                <w:szCs w:val="22"/>
                <w:highlight w:val="none"/>
                <w14:ligatures w14:val="none"/>
              </w:rPr>
            </w:pPr>
            <w:r>
              <w:rPr>
                <w:rFonts w:ascii="微软雅黑" w:hAnsi="微软雅黑" w:eastAsia="微软雅黑" w:cs="微软雅黑"/>
                <w:b/>
                <w:color w:val="000000"/>
                <w:kern w:val="0"/>
                <w:szCs w:val="22"/>
                <w:highlight w:val="none"/>
                <w14:ligatures w14:val="none"/>
              </w:rPr>
              <w:t>细胞库</w:t>
            </w:r>
          </w:p>
        </w:tc>
        <w:tc>
          <w:tcPr>
            <w:tcW w:w="2174" w:type="dxa"/>
            <w:vAlign w:val="center"/>
          </w:tcPr>
          <w:p w14:paraId="21CC67CD">
            <w:pPr>
              <w:widowControl/>
              <w:spacing w:before="280" w:beforeAutospacing="1" w:after="280" w:afterAutospacing="1" w:line="240" w:lineRule="auto"/>
              <w:jc w:val="center"/>
              <w:rPr>
                <w:rFonts w:hint="eastAsia" w:ascii="微软雅黑" w:hAnsi="微软雅黑" w:eastAsia="微软雅黑" w:cs="微软雅黑"/>
                <w:kern w:val="0"/>
                <w:szCs w:val="22"/>
                <w:highlight w:val="none"/>
                <w14:ligatures w14:val="none"/>
              </w:rPr>
            </w:pPr>
            <w:r>
              <w:rPr>
                <w:rFonts w:ascii="微软雅黑" w:hAnsi="微软雅黑" w:eastAsia="微软雅黑" w:cs="微软雅黑"/>
                <w:b/>
                <w:color w:val="000000"/>
                <w:kern w:val="0"/>
                <w:szCs w:val="22"/>
                <w:highlight w:val="none"/>
                <w14:ligatures w14:val="none"/>
              </w:rPr>
              <w:t>匹配细胞系</w:t>
            </w:r>
          </w:p>
        </w:tc>
        <w:tc>
          <w:tcPr>
            <w:tcW w:w="1430" w:type="dxa"/>
            <w:vAlign w:val="center"/>
          </w:tcPr>
          <w:p w14:paraId="39B6DF31">
            <w:pPr>
              <w:widowControl/>
              <w:spacing w:before="280" w:beforeAutospacing="1" w:after="280" w:afterAutospacing="1" w:line="240" w:lineRule="auto"/>
              <w:jc w:val="center"/>
              <w:rPr>
                <w:rFonts w:hint="eastAsia" w:ascii="微软雅黑" w:hAnsi="微软雅黑" w:eastAsia="微软雅黑" w:cs="微软雅黑"/>
                <w:kern w:val="0"/>
                <w:szCs w:val="22"/>
                <w:highlight w:val="none"/>
                <w14:ligatures w14:val="none"/>
              </w:rPr>
            </w:pPr>
            <w:r>
              <w:rPr>
                <w:rFonts w:hint="eastAsia" w:ascii="微软雅黑" w:hAnsi="微软雅黑" w:eastAsia="微软雅黑" w:cs="微软雅黑"/>
                <w:b/>
                <w:color w:val="000000"/>
                <w:kern w:val="0"/>
                <w:szCs w:val="22"/>
                <w:highlight w:val="none"/>
                <w14:ligatures w14:val="none"/>
              </w:rPr>
              <w:t>相似度</w:t>
            </w:r>
          </w:p>
        </w:tc>
        <w:tc>
          <w:tcPr>
            <w:tcW w:w="1606" w:type="dxa"/>
            <w:vAlign w:val="center"/>
          </w:tcPr>
          <w:p w14:paraId="379D2BB9">
            <w:pPr>
              <w:widowControl/>
              <w:spacing w:before="280" w:beforeAutospacing="1" w:after="280" w:afterAutospacing="1" w:line="240" w:lineRule="auto"/>
              <w:jc w:val="center"/>
              <w:rPr>
                <w:rFonts w:hint="eastAsia" w:ascii="微软雅黑" w:hAnsi="微软雅黑" w:eastAsia="微软雅黑" w:cs="微软雅黑"/>
                <w:kern w:val="0"/>
                <w:szCs w:val="22"/>
                <w:highlight w:val="none"/>
                <w14:ligatures w14:val="none"/>
              </w:rPr>
            </w:pPr>
            <w:r>
              <w:rPr>
                <w:rFonts w:ascii="微软雅黑" w:hAnsi="微软雅黑" w:eastAsia="微软雅黑" w:cs="微软雅黑"/>
                <w:b/>
                <w:color w:val="000000"/>
                <w:kern w:val="0"/>
                <w:szCs w:val="22"/>
                <w:highlight w:val="none"/>
                <w14:ligatures w14:val="none"/>
              </w:rPr>
              <w:t>匹配说明</w:t>
            </w:r>
          </w:p>
        </w:tc>
      </w:tr>
      <w:tr w14:paraId="1ECD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23" w:type="dxa"/>
            <w:bottom w:w="0" w:type="dxa"/>
            <w:right w:w="108" w:type="dxa"/>
          </w:tblCellMar>
        </w:tblPrEx>
        <w:trPr>
          <w:trHeight w:val="480" w:hRule="atLeast"/>
        </w:trPr>
        <w:tc>
          <w:tcPr>
            <w:tcW w:w="1527" w:type="dxa"/>
            <w:vAlign w:val="center"/>
          </w:tcPr>
          <w:p w14:paraId="47C0BCA6">
            <w:pPr>
              <w:widowControl/>
              <w:spacing w:before="280" w:beforeAutospacing="1" w:after="280" w:afterAutospacing="1" w:line="240" w:lineRule="auto"/>
              <w:jc w:val="center"/>
              <w:rPr>
                <w:rFonts w:hint="eastAsia" w:ascii="微软雅黑" w:hAnsi="微软雅黑" w:eastAsia="微软雅黑" w:cs="微软雅黑"/>
                <w:kern w:val="0"/>
                <w:szCs w:val="22"/>
                <w:highlight w:val="none"/>
                <w14:ligatures w14:val="none"/>
              </w:rPr>
            </w:pPr>
            <w:r>
              <w:rPr>
                <w:rFonts w:hint="eastAsia" w:ascii="Times New Roman" w:hAnsi="Times New Roman" w:eastAsia="微软雅黑" w:cs="Times New Roman"/>
                <w:kern w:val="0"/>
                <w:szCs w:val="22"/>
                <w:highlight w:val="none"/>
                <w14:ligatures w14:val="none"/>
              </w:rPr>
              <w:t>无</w:t>
            </w:r>
          </w:p>
        </w:tc>
        <w:tc>
          <w:tcPr>
            <w:tcW w:w="1387" w:type="dxa"/>
            <w:vAlign w:val="center"/>
          </w:tcPr>
          <w:p w14:paraId="48121AAD">
            <w:pPr>
              <w:widowControl/>
              <w:spacing w:before="280" w:beforeAutospacing="1" w:after="280" w:afterAutospacing="1" w:line="240" w:lineRule="auto"/>
              <w:jc w:val="center"/>
              <w:rPr>
                <w:rFonts w:ascii="Times New Roman" w:hAnsi="Times New Roman" w:eastAsia="微软雅黑" w:cs="Times New Roman"/>
                <w:kern w:val="0"/>
                <w:szCs w:val="22"/>
                <w:highlight w:val="none"/>
                <w14:ligatures w14:val="none"/>
              </w:rPr>
            </w:pPr>
            <w:r>
              <w:rPr>
                <w:rFonts w:ascii="Times New Roman" w:hAnsi="Times New Roman" w:eastAsia="微软雅黑" w:cs="Times New Roman"/>
                <w:kern w:val="0"/>
                <w:sz w:val="24"/>
                <w:highlight w:val="none"/>
                <w14:ligatures w14:val="none"/>
              </w:rPr>
              <w:t>Cellosaurus</w:t>
            </w:r>
          </w:p>
        </w:tc>
        <w:tc>
          <w:tcPr>
            <w:tcW w:w="2174" w:type="dxa"/>
            <w:vAlign w:val="center"/>
          </w:tcPr>
          <w:p w14:paraId="799627AD">
            <w:pPr>
              <w:widowControl/>
              <w:spacing w:after="0" w:line="240" w:lineRule="auto"/>
              <w:jc w:val="center"/>
              <w:textAlignment w:val="center"/>
              <w:rPr>
                <w:rFonts w:ascii="Helvetica" w:hAnsi="Helvetica" w:eastAsia="Helvetica" w:cs="Helvetica"/>
                <w:color w:val="006EB7"/>
                <w:kern w:val="0"/>
                <w:szCs w:val="22"/>
                <w:highlight w:val="none"/>
                <w14:ligatures w14:val="none"/>
              </w:rPr>
            </w:pPr>
            <w:r>
              <w:rPr>
                <w:rFonts w:hint="eastAsia" w:ascii="Times New Roman" w:hAnsi="Times New Roman" w:eastAsia="微软雅黑" w:cs="Times New Roman"/>
                <w:kern w:val="0"/>
                <w:sz w:val="24"/>
                <w:highlight w:val="none"/>
                <w14:ligatures w14:val="none"/>
              </w:rPr>
              <w:t>SW480</w:t>
            </w:r>
          </w:p>
        </w:tc>
        <w:tc>
          <w:tcPr>
            <w:tcW w:w="1430" w:type="dxa"/>
            <w:vAlign w:val="center"/>
          </w:tcPr>
          <w:p w14:paraId="107D06F8">
            <w:pPr>
              <w:widowControl/>
              <w:spacing w:before="280" w:beforeAutospacing="1" w:after="280" w:afterAutospacing="1" w:line="240" w:lineRule="auto"/>
              <w:jc w:val="center"/>
              <w:rPr>
                <w:rFonts w:hint="eastAsia" w:ascii="微软雅黑" w:hAnsi="微软雅黑" w:eastAsia="微软雅黑" w:cs="微软雅黑"/>
                <w:kern w:val="0"/>
                <w:szCs w:val="22"/>
                <w:highlight w:val="none"/>
                <w14:ligatures w14:val="none"/>
              </w:rPr>
            </w:pPr>
            <w:r>
              <w:rPr>
                <w:rFonts w:hint="eastAsia" w:ascii="微软雅黑" w:hAnsi="微软雅黑" w:eastAsia="微软雅黑" w:cs="微软雅黑"/>
                <w:kern w:val="0"/>
                <w:sz w:val="24"/>
                <w:highlight w:val="none"/>
                <w14:ligatures w14:val="none"/>
              </w:rPr>
              <w:t>100%</w:t>
            </w:r>
          </w:p>
        </w:tc>
        <w:tc>
          <w:tcPr>
            <w:tcW w:w="1606" w:type="dxa"/>
            <w:vAlign w:val="center"/>
          </w:tcPr>
          <w:p w14:paraId="278119F5">
            <w:pPr>
              <w:widowControl/>
              <w:spacing w:before="280" w:beforeAutospacing="1" w:after="280" w:afterAutospacing="1" w:line="240" w:lineRule="auto"/>
              <w:jc w:val="center"/>
              <w:rPr>
                <w:rFonts w:hint="eastAsia" w:ascii="微软雅黑" w:hAnsi="微软雅黑" w:eastAsia="微软雅黑" w:cs="微软雅黑"/>
                <w:kern w:val="0"/>
                <w:szCs w:val="22"/>
                <w:highlight w:val="none"/>
                <w14:ligatures w14:val="none"/>
              </w:rPr>
            </w:pPr>
            <w:r>
              <w:rPr>
                <w:rFonts w:hint="eastAsia" w:ascii="微软雅黑" w:hAnsi="微软雅黑" w:eastAsia="微软雅黑" w:cs="微软雅黑"/>
                <w:kern w:val="0"/>
                <w:sz w:val="24"/>
                <w:highlight w:val="none"/>
                <w14:ligatures w14:val="none"/>
              </w:rPr>
              <w:t>完全</w:t>
            </w:r>
            <w:r>
              <w:rPr>
                <w:rFonts w:ascii="微软雅黑" w:hAnsi="微软雅黑" w:eastAsia="微软雅黑" w:cs="微软雅黑"/>
                <w:kern w:val="0"/>
                <w:sz w:val="24"/>
                <w:highlight w:val="none"/>
                <w14:ligatures w14:val="none"/>
              </w:rPr>
              <w:t>匹配</w:t>
            </w:r>
          </w:p>
        </w:tc>
      </w:tr>
    </w:tbl>
    <w:tbl>
      <w:tblPr>
        <w:tblStyle w:val="44"/>
        <w:tblpPr w:leftFromText="180" w:rightFromText="180" w:vertAnchor="text" w:horzAnchor="margin" w:tblpY="1833"/>
        <w:tblW w:w="5010" w:type="pct"/>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108" w:type="dxa"/>
          <w:bottom w:w="0" w:type="dxa"/>
          <w:right w:w="108" w:type="dxa"/>
        </w:tblCellMar>
      </w:tblPr>
      <w:tblGrid>
        <w:gridCol w:w="1528"/>
        <w:gridCol w:w="1606"/>
        <w:gridCol w:w="1654"/>
        <w:gridCol w:w="1732"/>
        <w:gridCol w:w="1793"/>
      </w:tblGrid>
      <w:tr w14:paraId="7041113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vMerge w:val="restart"/>
            <w:tcBorders>
              <w:top w:val="single" w:color="404040" w:sz="4" w:space="0"/>
              <w:left w:val="single" w:color="404040" w:sz="4" w:space="0"/>
              <w:bottom w:val="single" w:color="404040" w:sz="4" w:space="0"/>
              <w:right w:val="single" w:color="404040" w:sz="4" w:space="0"/>
            </w:tcBorders>
            <w:vAlign w:val="center"/>
          </w:tcPr>
          <w:p w14:paraId="506ED78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Loci</w:t>
            </w:r>
          </w:p>
        </w:tc>
        <w:tc>
          <w:tcPr>
            <w:tcW w:w="1961" w:type="pct"/>
            <w:gridSpan w:val="2"/>
            <w:tcBorders>
              <w:top w:val="single" w:color="404040" w:sz="4" w:space="0"/>
              <w:left w:val="single" w:color="404040" w:sz="4" w:space="0"/>
              <w:bottom w:val="single" w:color="404040" w:sz="4" w:space="0"/>
              <w:right w:val="single" w:color="404040" w:sz="4" w:space="0"/>
            </w:tcBorders>
            <w:vAlign w:val="center"/>
          </w:tcPr>
          <w:p w14:paraId="474EAC62">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送检细胞STR信息</w:t>
            </w:r>
          </w:p>
        </w:tc>
        <w:tc>
          <w:tcPr>
            <w:tcW w:w="2120" w:type="pct"/>
            <w:gridSpan w:val="2"/>
            <w:tcBorders>
              <w:top w:val="single" w:color="404040" w:sz="4" w:space="0"/>
              <w:left w:val="single" w:color="404040" w:sz="4" w:space="0"/>
              <w:bottom w:val="single" w:color="404040" w:sz="4" w:space="0"/>
              <w:right w:val="single" w:color="404040" w:sz="4" w:space="0"/>
            </w:tcBorders>
            <w:vAlign w:val="center"/>
          </w:tcPr>
          <w:p w14:paraId="303805B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细胞库细胞STR信息</w:t>
            </w:r>
          </w:p>
        </w:tc>
      </w:tr>
      <w:tr w14:paraId="18E5702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vMerge w:val="continue"/>
            <w:tcBorders>
              <w:top w:val="single" w:color="404040" w:sz="4" w:space="0"/>
              <w:left w:val="single" w:color="404040" w:sz="4" w:space="0"/>
              <w:bottom w:val="single" w:color="404040" w:sz="4" w:space="0"/>
              <w:right w:val="single" w:color="404040" w:sz="4" w:space="0"/>
            </w:tcBorders>
            <w:vAlign w:val="center"/>
          </w:tcPr>
          <w:p w14:paraId="0B3DE72A">
            <w:pPr>
              <w:widowControl/>
              <w:spacing w:after="0" w:line="240" w:lineRule="auto"/>
              <w:jc w:val="center"/>
              <w:rPr>
                <w:rFonts w:hint="eastAsia" w:ascii="宋体" w:hAnsi="宋体" w:eastAsia="宋体" w:cs="Times New Roman"/>
                <w:kern w:val="0"/>
                <w:sz w:val="21"/>
                <w:szCs w:val="21"/>
                <w:highlight w:val="none"/>
                <w14:ligatures w14:val="none"/>
              </w:rPr>
            </w:pPr>
          </w:p>
        </w:tc>
        <w:tc>
          <w:tcPr>
            <w:tcW w:w="1961" w:type="pct"/>
            <w:gridSpan w:val="2"/>
            <w:tcBorders>
              <w:top w:val="single" w:color="404040" w:sz="4" w:space="0"/>
              <w:left w:val="single" w:color="404040" w:sz="4" w:space="0"/>
              <w:bottom w:val="single" w:color="404040" w:sz="4" w:space="0"/>
              <w:right w:val="single" w:color="404040" w:sz="4" w:space="0"/>
            </w:tcBorders>
            <w:vAlign w:val="center"/>
          </w:tcPr>
          <w:p w14:paraId="60D9DFB1">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样品编号：M</w:t>
            </w:r>
          </w:p>
        </w:tc>
        <w:tc>
          <w:tcPr>
            <w:tcW w:w="2120" w:type="pct"/>
            <w:gridSpan w:val="2"/>
            <w:tcBorders>
              <w:top w:val="single" w:color="404040" w:sz="4" w:space="0"/>
              <w:left w:val="single" w:color="404040" w:sz="4" w:space="0"/>
              <w:bottom w:val="single" w:color="404040" w:sz="4" w:space="0"/>
              <w:right w:val="single" w:color="404040" w:sz="4" w:space="0"/>
            </w:tcBorders>
            <w:vAlign w:val="center"/>
          </w:tcPr>
          <w:p w14:paraId="2167744D">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细胞库细胞名：SW480</w:t>
            </w:r>
          </w:p>
        </w:tc>
      </w:tr>
      <w:tr w14:paraId="7A091AB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vMerge w:val="continue"/>
            <w:tcBorders>
              <w:top w:val="single" w:color="404040" w:sz="4" w:space="0"/>
              <w:left w:val="single" w:color="404040" w:sz="4" w:space="0"/>
              <w:bottom w:val="single" w:color="404040" w:sz="4" w:space="0"/>
              <w:right w:val="single" w:color="404040" w:sz="4" w:space="0"/>
            </w:tcBorders>
            <w:vAlign w:val="center"/>
          </w:tcPr>
          <w:p w14:paraId="350BB11A">
            <w:pPr>
              <w:widowControl/>
              <w:spacing w:after="0" w:line="240" w:lineRule="auto"/>
              <w:jc w:val="center"/>
              <w:rPr>
                <w:rFonts w:hint="eastAsia" w:ascii="宋体" w:hAnsi="宋体" w:eastAsia="宋体" w:cs="Times New Roman"/>
                <w:kern w:val="0"/>
                <w:sz w:val="21"/>
                <w:szCs w:val="21"/>
                <w:highlight w:val="none"/>
                <w14:ligatures w14:val="none"/>
              </w:rPr>
            </w:pPr>
          </w:p>
        </w:tc>
        <w:tc>
          <w:tcPr>
            <w:tcW w:w="966" w:type="pct"/>
            <w:tcBorders>
              <w:top w:val="single" w:color="404040" w:sz="4" w:space="0"/>
              <w:left w:val="single" w:color="404040" w:sz="4" w:space="0"/>
              <w:bottom w:val="single" w:color="404040" w:sz="4" w:space="0"/>
              <w:right w:val="single" w:color="404040" w:sz="4" w:space="0"/>
            </w:tcBorders>
            <w:vAlign w:val="center"/>
          </w:tcPr>
          <w:p w14:paraId="1C9609BD">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Allele1</w:t>
            </w:r>
          </w:p>
        </w:tc>
        <w:tc>
          <w:tcPr>
            <w:tcW w:w="995" w:type="pct"/>
            <w:tcBorders>
              <w:top w:val="single" w:color="404040" w:sz="4" w:space="0"/>
              <w:left w:val="single" w:color="404040" w:sz="4" w:space="0"/>
              <w:bottom w:val="single" w:color="404040" w:sz="4" w:space="0"/>
              <w:right w:val="single" w:color="404040" w:sz="4" w:space="0"/>
            </w:tcBorders>
            <w:vAlign w:val="center"/>
          </w:tcPr>
          <w:p w14:paraId="43006297">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Allele2</w:t>
            </w:r>
          </w:p>
        </w:tc>
        <w:tc>
          <w:tcPr>
            <w:tcW w:w="1042" w:type="pct"/>
            <w:tcBorders>
              <w:top w:val="single" w:color="404040" w:sz="4" w:space="0"/>
              <w:left w:val="single" w:color="404040" w:sz="4" w:space="0"/>
              <w:bottom w:val="single" w:color="404040" w:sz="4" w:space="0"/>
              <w:right w:val="single" w:color="auto" w:sz="4" w:space="0"/>
            </w:tcBorders>
            <w:vAlign w:val="center"/>
          </w:tcPr>
          <w:p w14:paraId="00D306E9">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Allele1</w:t>
            </w:r>
          </w:p>
        </w:tc>
        <w:tc>
          <w:tcPr>
            <w:tcW w:w="1078" w:type="pct"/>
            <w:tcBorders>
              <w:top w:val="single" w:color="404040" w:sz="4" w:space="0"/>
              <w:left w:val="single" w:color="auto" w:sz="4" w:space="0"/>
              <w:bottom w:val="single" w:color="404040" w:sz="4" w:space="0"/>
              <w:right w:val="single" w:color="404040" w:sz="4" w:space="0"/>
            </w:tcBorders>
            <w:vAlign w:val="center"/>
          </w:tcPr>
          <w:p w14:paraId="3ABCDA22">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Allele2</w:t>
            </w:r>
          </w:p>
        </w:tc>
      </w:tr>
      <w:tr w14:paraId="151CA1A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4A54193B">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D5S818</w:t>
            </w:r>
          </w:p>
        </w:tc>
        <w:tc>
          <w:tcPr>
            <w:tcW w:w="966" w:type="pct"/>
            <w:tcBorders>
              <w:top w:val="single" w:color="404040" w:sz="4" w:space="0"/>
              <w:left w:val="single" w:color="404040" w:sz="4" w:space="0"/>
              <w:bottom w:val="single" w:color="404040" w:sz="4" w:space="0"/>
              <w:right w:val="single" w:color="404040" w:sz="4" w:space="0"/>
            </w:tcBorders>
            <w:vAlign w:val="center"/>
          </w:tcPr>
          <w:p w14:paraId="1758D26A">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995" w:type="pct"/>
            <w:tcBorders>
              <w:top w:val="single" w:color="404040" w:sz="4" w:space="0"/>
              <w:left w:val="single" w:color="404040" w:sz="4" w:space="0"/>
              <w:bottom w:val="single" w:color="404040" w:sz="4" w:space="0"/>
              <w:right w:val="single" w:color="404040" w:sz="4" w:space="0"/>
            </w:tcBorders>
            <w:vAlign w:val="center"/>
          </w:tcPr>
          <w:p w14:paraId="458CE827">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42" w:type="pct"/>
            <w:tcBorders>
              <w:top w:val="single" w:color="404040" w:sz="4" w:space="0"/>
              <w:left w:val="single" w:color="404040" w:sz="4" w:space="0"/>
              <w:bottom w:val="single" w:color="404040" w:sz="4" w:space="0"/>
              <w:right w:val="single" w:color="auto" w:sz="4" w:space="0"/>
            </w:tcBorders>
            <w:vAlign w:val="center"/>
          </w:tcPr>
          <w:p w14:paraId="49B2EA1F">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78" w:type="pct"/>
            <w:tcBorders>
              <w:top w:val="single" w:color="404040" w:sz="4" w:space="0"/>
              <w:left w:val="single" w:color="auto" w:sz="4" w:space="0"/>
              <w:bottom w:val="single" w:color="404040" w:sz="4" w:space="0"/>
              <w:right w:val="single" w:color="404040" w:sz="4" w:space="0"/>
            </w:tcBorders>
            <w:vAlign w:val="center"/>
          </w:tcPr>
          <w:p w14:paraId="6FCC8BD0">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r>
      <w:tr w14:paraId="0EBB653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067142BB">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D13S317</w:t>
            </w:r>
          </w:p>
        </w:tc>
        <w:tc>
          <w:tcPr>
            <w:tcW w:w="966" w:type="pct"/>
            <w:tcBorders>
              <w:top w:val="single" w:color="404040" w:sz="4" w:space="0"/>
              <w:left w:val="single" w:color="404040" w:sz="4" w:space="0"/>
              <w:bottom w:val="single" w:color="404040" w:sz="4" w:space="0"/>
              <w:right w:val="single" w:color="404040" w:sz="4" w:space="0"/>
            </w:tcBorders>
            <w:vAlign w:val="center"/>
          </w:tcPr>
          <w:p w14:paraId="4219BDF9">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12</w:t>
            </w:r>
          </w:p>
        </w:tc>
        <w:tc>
          <w:tcPr>
            <w:tcW w:w="995" w:type="pct"/>
            <w:tcBorders>
              <w:top w:val="single" w:color="404040" w:sz="4" w:space="0"/>
              <w:left w:val="single" w:color="404040" w:sz="4" w:space="0"/>
              <w:bottom w:val="single" w:color="404040" w:sz="4" w:space="0"/>
              <w:right w:val="single" w:color="404040" w:sz="4" w:space="0"/>
            </w:tcBorders>
            <w:vAlign w:val="center"/>
          </w:tcPr>
          <w:p w14:paraId="7099E294">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12</w:t>
            </w:r>
          </w:p>
        </w:tc>
        <w:tc>
          <w:tcPr>
            <w:tcW w:w="1042" w:type="pct"/>
            <w:tcBorders>
              <w:top w:val="single" w:color="404040" w:sz="4" w:space="0"/>
              <w:left w:val="single" w:color="404040" w:sz="4" w:space="0"/>
              <w:bottom w:val="single" w:color="404040" w:sz="4" w:space="0"/>
              <w:right w:val="single" w:color="auto" w:sz="4" w:space="0"/>
            </w:tcBorders>
            <w:vAlign w:val="center"/>
          </w:tcPr>
          <w:p w14:paraId="5A9641E6">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12</w:t>
            </w:r>
          </w:p>
        </w:tc>
        <w:tc>
          <w:tcPr>
            <w:tcW w:w="1078" w:type="pct"/>
            <w:tcBorders>
              <w:top w:val="single" w:color="404040" w:sz="4" w:space="0"/>
              <w:left w:val="single" w:color="auto" w:sz="4" w:space="0"/>
              <w:bottom w:val="single" w:color="404040" w:sz="4" w:space="0"/>
              <w:right w:val="single" w:color="404040" w:sz="4" w:space="0"/>
            </w:tcBorders>
            <w:vAlign w:val="center"/>
          </w:tcPr>
          <w:p w14:paraId="516AF164">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12</w:t>
            </w:r>
          </w:p>
        </w:tc>
      </w:tr>
      <w:tr w14:paraId="2139EB9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4625D6CD">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D7S820</w:t>
            </w:r>
          </w:p>
        </w:tc>
        <w:tc>
          <w:tcPr>
            <w:tcW w:w="966" w:type="pct"/>
            <w:tcBorders>
              <w:top w:val="single" w:color="404040" w:sz="4" w:space="0"/>
              <w:left w:val="single" w:color="404040" w:sz="4" w:space="0"/>
              <w:bottom w:val="single" w:color="404040" w:sz="4" w:space="0"/>
              <w:right w:val="single" w:color="404040" w:sz="4" w:space="0"/>
            </w:tcBorders>
            <w:vAlign w:val="center"/>
          </w:tcPr>
          <w:p w14:paraId="34AE53AF">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8</w:t>
            </w:r>
          </w:p>
        </w:tc>
        <w:tc>
          <w:tcPr>
            <w:tcW w:w="995" w:type="pct"/>
            <w:tcBorders>
              <w:top w:val="single" w:color="404040" w:sz="4" w:space="0"/>
              <w:left w:val="single" w:color="404040" w:sz="4" w:space="0"/>
              <w:bottom w:val="single" w:color="404040" w:sz="4" w:space="0"/>
              <w:right w:val="single" w:color="404040" w:sz="4" w:space="0"/>
            </w:tcBorders>
            <w:vAlign w:val="center"/>
          </w:tcPr>
          <w:p w14:paraId="1ECD38EB">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8</w:t>
            </w:r>
          </w:p>
        </w:tc>
        <w:tc>
          <w:tcPr>
            <w:tcW w:w="1042" w:type="pct"/>
            <w:tcBorders>
              <w:top w:val="single" w:color="404040" w:sz="4" w:space="0"/>
              <w:left w:val="single" w:color="404040" w:sz="4" w:space="0"/>
              <w:bottom w:val="single" w:color="404040" w:sz="4" w:space="0"/>
              <w:right w:val="single" w:color="auto" w:sz="4" w:space="0"/>
            </w:tcBorders>
            <w:vAlign w:val="center"/>
          </w:tcPr>
          <w:p w14:paraId="420D48C4">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8</w:t>
            </w:r>
          </w:p>
        </w:tc>
        <w:tc>
          <w:tcPr>
            <w:tcW w:w="1078" w:type="pct"/>
            <w:tcBorders>
              <w:top w:val="single" w:color="404040" w:sz="4" w:space="0"/>
              <w:left w:val="single" w:color="auto" w:sz="4" w:space="0"/>
              <w:bottom w:val="single" w:color="404040" w:sz="4" w:space="0"/>
              <w:right w:val="single" w:color="404040" w:sz="4" w:space="0"/>
            </w:tcBorders>
            <w:vAlign w:val="center"/>
          </w:tcPr>
          <w:p w14:paraId="12AD664A">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8</w:t>
            </w:r>
          </w:p>
        </w:tc>
      </w:tr>
      <w:tr w14:paraId="31E4D0E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4610D1DB">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D16S539</w:t>
            </w:r>
          </w:p>
        </w:tc>
        <w:tc>
          <w:tcPr>
            <w:tcW w:w="966" w:type="pct"/>
            <w:tcBorders>
              <w:top w:val="single" w:color="404040" w:sz="4" w:space="0"/>
              <w:left w:val="single" w:color="404040" w:sz="4" w:space="0"/>
              <w:bottom w:val="single" w:color="404040" w:sz="4" w:space="0"/>
              <w:right w:val="single" w:color="404040" w:sz="4" w:space="0"/>
            </w:tcBorders>
            <w:vAlign w:val="center"/>
          </w:tcPr>
          <w:p w14:paraId="0E4FA70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995" w:type="pct"/>
            <w:tcBorders>
              <w:top w:val="single" w:color="404040" w:sz="4" w:space="0"/>
              <w:left w:val="single" w:color="404040" w:sz="4" w:space="0"/>
              <w:bottom w:val="single" w:color="404040" w:sz="4" w:space="0"/>
              <w:right w:val="single" w:color="404040" w:sz="4" w:space="0"/>
            </w:tcBorders>
            <w:vAlign w:val="center"/>
          </w:tcPr>
          <w:p w14:paraId="20C6D98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42" w:type="pct"/>
            <w:tcBorders>
              <w:top w:val="single" w:color="404040" w:sz="4" w:space="0"/>
              <w:left w:val="single" w:color="404040" w:sz="4" w:space="0"/>
              <w:bottom w:val="single" w:color="404040" w:sz="4" w:space="0"/>
              <w:right w:val="single" w:color="auto" w:sz="4" w:space="0"/>
            </w:tcBorders>
            <w:vAlign w:val="center"/>
          </w:tcPr>
          <w:p w14:paraId="07932BA5">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78" w:type="pct"/>
            <w:tcBorders>
              <w:top w:val="single" w:color="404040" w:sz="4" w:space="0"/>
              <w:left w:val="single" w:color="auto" w:sz="4" w:space="0"/>
              <w:bottom w:val="single" w:color="404040" w:sz="4" w:space="0"/>
              <w:right w:val="single" w:color="404040" w:sz="4" w:space="0"/>
            </w:tcBorders>
            <w:vAlign w:val="center"/>
          </w:tcPr>
          <w:p w14:paraId="33FDFD22">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r>
      <w:tr w14:paraId="79E4D4E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322FEA31">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vWA</w:t>
            </w:r>
          </w:p>
        </w:tc>
        <w:tc>
          <w:tcPr>
            <w:tcW w:w="966" w:type="pct"/>
            <w:tcBorders>
              <w:top w:val="single" w:color="404040" w:sz="4" w:space="0"/>
              <w:left w:val="single" w:color="404040" w:sz="4" w:space="0"/>
              <w:bottom w:val="single" w:color="404040" w:sz="4" w:space="0"/>
              <w:right w:val="single" w:color="404040" w:sz="4" w:space="0"/>
            </w:tcBorders>
            <w:vAlign w:val="center"/>
          </w:tcPr>
          <w:p w14:paraId="7338285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16</w:t>
            </w:r>
          </w:p>
        </w:tc>
        <w:tc>
          <w:tcPr>
            <w:tcW w:w="995" w:type="pct"/>
            <w:tcBorders>
              <w:top w:val="single" w:color="404040" w:sz="4" w:space="0"/>
              <w:left w:val="single" w:color="404040" w:sz="4" w:space="0"/>
              <w:bottom w:val="single" w:color="404040" w:sz="4" w:space="0"/>
              <w:right w:val="single" w:color="404040" w:sz="4" w:space="0"/>
            </w:tcBorders>
            <w:vAlign w:val="center"/>
          </w:tcPr>
          <w:p w14:paraId="4C6FDFC7">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16</w:t>
            </w:r>
          </w:p>
        </w:tc>
        <w:tc>
          <w:tcPr>
            <w:tcW w:w="1042" w:type="pct"/>
            <w:tcBorders>
              <w:top w:val="single" w:color="404040" w:sz="4" w:space="0"/>
              <w:left w:val="single" w:color="404040" w:sz="4" w:space="0"/>
              <w:bottom w:val="single" w:color="404040" w:sz="4" w:space="0"/>
              <w:right w:val="single" w:color="auto" w:sz="4" w:space="0"/>
            </w:tcBorders>
            <w:vAlign w:val="center"/>
          </w:tcPr>
          <w:p w14:paraId="7AE8B739">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16</w:t>
            </w:r>
          </w:p>
        </w:tc>
        <w:tc>
          <w:tcPr>
            <w:tcW w:w="1078" w:type="pct"/>
            <w:tcBorders>
              <w:top w:val="single" w:color="404040" w:sz="4" w:space="0"/>
              <w:left w:val="single" w:color="auto" w:sz="4" w:space="0"/>
              <w:bottom w:val="single" w:color="404040" w:sz="4" w:space="0"/>
              <w:right w:val="single" w:color="404040" w:sz="4" w:space="0"/>
            </w:tcBorders>
            <w:vAlign w:val="center"/>
          </w:tcPr>
          <w:p w14:paraId="4CC9EF0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16</w:t>
            </w:r>
          </w:p>
        </w:tc>
      </w:tr>
      <w:tr w14:paraId="5993BA0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5AC8CCE7">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TH01</w:t>
            </w:r>
          </w:p>
        </w:tc>
        <w:tc>
          <w:tcPr>
            <w:tcW w:w="966" w:type="pct"/>
            <w:tcBorders>
              <w:top w:val="single" w:color="404040" w:sz="4" w:space="0"/>
              <w:left w:val="single" w:color="404040" w:sz="4" w:space="0"/>
              <w:bottom w:val="single" w:color="404040" w:sz="4" w:space="0"/>
              <w:right w:val="single" w:color="404040" w:sz="4" w:space="0"/>
            </w:tcBorders>
            <w:vAlign w:val="center"/>
          </w:tcPr>
          <w:p w14:paraId="6469A73D">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8</w:t>
            </w:r>
          </w:p>
        </w:tc>
        <w:tc>
          <w:tcPr>
            <w:tcW w:w="995" w:type="pct"/>
            <w:tcBorders>
              <w:top w:val="single" w:color="404040" w:sz="4" w:space="0"/>
              <w:left w:val="single" w:color="404040" w:sz="4" w:space="0"/>
              <w:bottom w:val="single" w:color="404040" w:sz="4" w:space="0"/>
              <w:right w:val="single" w:color="404040" w:sz="4" w:space="0"/>
            </w:tcBorders>
            <w:vAlign w:val="center"/>
          </w:tcPr>
          <w:p w14:paraId="4441A986">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8</w:t>
            </w:r>
          </w:p>
        </w:tc>
        <w:tc>
          <w:tcPr>
            <w:tcW w:w="1042" w:type="pct"/>
            <w:tcBorders>
              <w:top w:val="single" w:color="404040" w:sz="4" w:space="0"/>
              <w:left w:val="single" w:color="404040" w:sz="4" w:space="0"/>
              <w:bottom w:val="single" w:color="404040" w:sz="4" w:space="0"/>
              <w:right w:val="single" w:color="auto" w:sz="4" w:space="0"/>
            </w:tcBorders>
            <w:vAlign w:val="center"/>
          </w:tcPr>
          <w:p w14:paraId="261155C5">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8</w:t>
            </w:r>
          </w:p>
        </w:tc>
        <w:tc>
          <w:tcPr>
            <w:tcW w:w="1078" w:type="pct"/>
            <w:tcBorders>
              <w:top w:val="single" w:color="404040" w:sz="4" w:space="0"/>
              <w:left w:val="single" w:color="auto" w:sz="4" w:space="0"/>
              <w:bottom w:val="single" w:color="404040" w:sz="4" w:space="0"/>
              <w:right w:val="single" w:color="404040" w:sz="4" w:space="0"/>
            </w:tcBorders>
            <w:vAlign w:val="center"/>
          </w:tcPr>
          <w:p w14:paraId="0214231D">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8</w:t>
            </w:r>
          </w:p>
        </w:tc>
      </w:tr>
      <w:tr w14:paraId="6F6AB74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13542B49">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TPOX</w:t>
            </w:r>
          </w:p>
        </w:tc>
        <w:tc>
          <w:tcPr>
            <w:tcW w:w="966" w:type="pct"/>
            <w:tcBorders>
              <w:top w:val="single" w:color="404040" w:sz="4" w:space="0"/>
              <w:left w:val="single" w:color="404040" w:sz="4" w:space="0"/>
              <w:bottom w:val="single" w:color="404040" w:sz="4" w:space="0"/>
              <w:right w:val="single" w:color="404040" w:sz="4" w:space="0"/>
            </w:tcBorders>
            <w:vAlign w:val="center"/>
          </w:tcPr>
          <w:p w14:paraId="1F0D555B">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11</w:t>
            </w:r>
          </w:p>
        </w:tc>
        <w:tc>
          <w:tcPr>
            <w:tcW w:w="995" w:type="pct"/>
            <w:tcBorders>
              <w:top w:val="single" w:color="404040" w:sz="4" w:space="0"/>
              <w:left w:val="single" w:color="404040" w:sz="4" w:space="0"/>
              <w:bottom w:val="single" w:color="404040" w:sz="4" w:space="0"/>
              <w:right w:val="single" w:color="404040" w:sz="4" w:space="0"/>
            </w:tcBorders>
            <w:vAlign w:val="center"/>
          </w:tcPr>
          <w:p w14:paraId="5D90429F">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11</w:t>
            </w:r>
          </w:p>
        </w:tc>
        <w:tc>
          <w:tcPr>
            <w:tcW w:w="1042" w:type="pct"/>
            <w:tcBorders>
              <w:top w:val="single" w:color="404040" w:sz="4" w:space="0"/>
              <w:left w:val="single" w:color="404040" w:sz="4" w:space="0"/>
              <w:bottom w:val="single" w:color="404040" w:sz="4" w:space="0"/>
              <w:right w:val="single" w:color="auto" w:sz="4" w:space="0"/>
            </w:tcBorders>
            <w:vAlign w:val="center"/>
          </w:tcPr>
          <w:p w14:paraId="0258C14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11</w:t>
            </w:r>
          </w:p>
        </w:tc>
        <w:tc>
          <w:tcPr>
            <w:tcW w:w="1078" w:type="pct"/>
            <w:tcBorders>
              <w:top w:val="single" w:color="404040" w:sz="4" w:space="0"/>
              <w:left w:val="single" w:color="auto" w:sz="4" w:space="0"/>
              <w:bottom w:val="single" w:color="404040" w:sz="4" w:space="0"/>
              <w:right w:val="single" w:color="404040" w:sz="4" w:space="0"/>
            </w:tcBorders>
            <w:vAlign w:val="center"/>
          </w:tcPr>
          <w:p w14:paraId="21FC844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11</w:t>
            </w:r>
          </w:p>
        </w:tc>
      </w:tr>
      <w:tr w14:paraId="27683C3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6C065E28">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CSF1PO</w:t>
            </w:r>
          </w:p>
        </w:tc>
        <w:tc>
          <w:tcPr>
            <w:tcW w:w="966" w:type="pct"/>
            <w:tcBorders>
              <w:top w:val="single" w:color="404040" w:sz="4" w:space="0"/>
              <w:left w:val="single" w:color="404040" w:sz="4" w:space="0"/>
              <w:bottom w:val="single" w:color="404040" w:sz="4" w:space="0"/>
              <w:right w:val="single" w:color="404040" w:sz="4" w:space="0"/>
            </w:tcBorders>
            <w:vAlign w:val="center"/>
          </w:tcPr>
          <w:p w14:paraId="4B572170">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995" w:type="pct"/>
            <w:tcBorders>
              <w:top w:val="single" w:color="404040" w:sz="4" w:space="0"/>
              <w:left w:val="single" w:color="404040" w:sz="4" w:space="0"/>
              <w:bottom w:val="single" w:color="404040" w:sz="4" w:space="0"/>
              <w:right w:val="single" w:color="404040" w:sz="4" w:space="0"/>
            </w:tcBorders>
            <w:vAlign w:val="center"/>
          </w:tcPr>
          <w:p w14:paraId="68AA97BB">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14</w:t>
            </w:r>
          </w:p>
        </w:tc>
        <w:tc>
          <w:tcPr>
            <w:tcW w:w="1042" w:type="pct"/>
            <w:tcBorders>
              <w:top w:val="single" w:color="404040" w:sz="4" w:space="0"/>
              <w:left w:val="single" w:color="404040" w:sz="4" w:space="0"/>
              <w:bottom w:val="single" w:color="404040" w:sz="4" w:space="0"/>
              <w:right w:val="single" w:color="auto" w:sz="4" w:space="0"/>
            </w:tcBorders>
            <w:vAlign w:val="center"/>
          </w:tcPr>
          <w:p w14:paraId="738BDD29">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78" w:type="pct"/>
            <w:tcBorders>
              <w:top w:val="single" w:color="404040" w:sz="4" w:space="0"/>
              <w:left w:val="single" w:color="auto" w:sz="4" w:space="0"/>
              <w:bottom w:val="single" w:color="404040" w:sz="4" w:space="0"/>
              <w:right w:val="single" w:color="404040" w:sz="4" w:space="0"/>
            </w:tcBorders>
            <w:vAlign w:val="center"/>
          </w:tcPr>
          <w:p w14:paraId="57B0743D">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14</w:t>
            </w:r>
          </w:p>
        </w:tc>
      </w:tr>
      <w:tr w14:paraId="10FFF02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64DB3E68">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AMEL</w:t>
            </w:r>
          </w:p>
        </w:tc>
        <w:tc>
          <w:tcPr>
            <w:tcW w:w="966" w:type="pct"/>
            <w:tcBorders>
              <w:top w:val="single" w:color="404040" w:sz="4" w:space="0"/>
              <w:left w:val="single" w:color="404040" w:sz="4" w:space="0"/>
              <w:bottom w:val="single" w:color="404040" w:sz="4" w:space="0"/>
              <w:right w:val="single" w:color="404040" w:sz="4" w:space="0"/>
            </w:tcBorders>
            <w:vAlign w:val="center"/>
          </w:tcPr>
          <w:p w14:paraId="49F6049B">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X</w:t>
            </w:r>
          </w:p>
        </w:tc>
        <w:tc>
          <w:tcPr>
            <w:tcW w:w="995" w:type="pct"/>
            <w:tcBorders>
              <w:top w:val="single" w:color="404040" w:sz="4" w:space="0"/>
              <w:left w:val="single" w:color="404040" w:sz="4" w:space="0"/>
              <w:bottom w:val="single" w:color="404040" w:sz="4" w:space="0"/>
              <w:right w:val="single" w:color="404040" w:sz="4" w:space="0"/>
            </w:tcBorders>
            <w:vAlign w:val="center"/>
          </w:tcPr>
          <w:p w14:paraId="7E1B8C91">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X</w:t>
            </w:r>
          </w:p>
        </w:tc>
        <w:tc>
          <w:tcPr>
            <w:tcW w:w="1042" w:type="pct"/>
            <w:tcBorders>
              <w:top w:val="single" w:color="404040" w:sz="4" w:space="0"/>
              <w:left w:val="single" w:color="404040" w:sz="4" w:space="0"/>
              <w:bottom w:val="single" w:color="404040" w:sz="4" w:space="0"/>
              <w:right w:val="single" w:color="auto" w:sz="4" w:space="0"/>
            </w:tcBorders>
            <w:vAlign w:val="center"/>
          </w:tcPr>
          <w:p w14:paraId="01EC83DA">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X</w:t>
            </w:r>
          </w:p>
        </w:tc>
        <w:tc>
          <w:tcPr>
            <w:tcW w:w="1078" w:type="pct"/>
            <w:tcBorders>
              <w:top w:val="single" w:color="404040" w:sz="4" w:space="0"/>
              <w:left w:val="single" w:color="auto" w:sz="4" w:space="0"/>
              <w:bottom w:val="single" w:color="404040" w:sz="4" w:space="0"/>
              <w:right w:val="single" w:color="404040" w:sz="4" w:space="0"/>
            </w:tcBorders>
            <w:vAlign w:val="center"/>
          </w:tcPr>
          <w:p w14:paraId="698AE855">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X</w:t>
            </w:r>
          </w:p>
        </w:tc>
      </w:tr>
      <w:tr w14:paraId="67E27F7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45ADE36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D3S1358</w:t>
            </w:r>
          </w:p>
        </w:tc>
        <w:tc>
          <w:tcPr>
            <w:tcW w:w="966" w:type="pct"/>
            <w:tcBorders>
              <w:top w:val="single" w:color="404040" w:sz="4" w:space="0"/>
              <w:left w:val="single" w:color="404040" w:sz="4" w:space="0"/>
              <w:bottom w:val="single" w:color="404040" w:sz="4" w:space="0"/>
              <w:right w:val="single" w:color="404040" w:sz="4" w:space="0"/>
            </w:tcBorders>
            <w:vAlign w:val="center"/>
          </w:tcPr>
          <w:p w14:paraId="3AF91C2A">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15</w:t>
            </w:r>
          </w:p>
        </w:tc>
        <w:tc>
          <w:tcPr>
            <w:tcW w:w="995" w:type="pct"/>
            <w:tcBorders>
              <w:top w:val="single" w:color="404040" w:sz="4" w:space="0"/>
              <w:left w:val="single" w:color="404040" w:sz="4" w:space="0"/>
              <w:bottom w:val="single" w:color="404040" w:sz="4" w:space="0"/>
              <w:right w:val="single" w:color="404040" w:sz="4" w:space="0"/>
            </w:tcBorders>
            <w:vAlign w:val="center"/>
          </w:tcPr>
          <w:p w14:paraId="01BA50E0">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15</w:t>
            </w:r>
          </w:p>
        </w:tc>
        <w:tc>
          <w:tcPr>
            <w:tcW w:w="1042" w:type="pct"/>
            <w:tcBorders>
              <w:top w:val="single" w:color="404040" w:sz="4" w:space="0"/>
              <w:left w:val="single" w:color="404040" w:sz="4" w:space="0"/>
              <w:bottom w:val="single" w:color="404040" w:sz="4" w:space="0"/>
              <w:right w:val="single" w:color="auto" w:sz="4" w:space="0"/>
            </w:tcBorders>
            <w:vAlign w:val="center"/>
          </w:tcPr>
          <w:p w14:paraId="63BD5E24">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15</w:t>
            </w:r>
          </w:p>
        </w:tc>
        <w:tc>
          <w:tcPr>
            <w:tcW w:w="1078" w:type="pct"/>
            <w:tcBorders>
              <w:top w:val="single" w:color="404040" w:sz="4" w:space="0"/>
              <w:left w:val="single" w:color="auto" w:sz="4" w:space="0"/>
              <w:bottom w:val="single" w:color="404040" w:sz="4" w:space="0"/>
              <w:right w:val="single" w:color="404040" w:sz="4" w:space="0"/>
            </w:tcBorders>
            <w:vAlign w:val="center"/>
          </w:tcPr>
          <w:p w14:paraId="72D170D5">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15</w:t>
            </w:r>
          </w:p>
        </w:tc>
      </w:tr>
      <w:tr w14:paraId="3AF9704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7741854B">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D21S11</w:t>
            </w:r>
          </w:p>
        </w:tc>
        <w:tc>
          <w:tcPr>
            <w:tcW w:w="966" w:type="pct"/>
            <w:tcBorders>
              <w:top w:val="single" w:color="404040" w:sz="4" w:space="0"/>
              <w:left w:val="single" w:color="404040" w:sz="4" w:space="0"/>
              <w:bottom w:val="single" w:color="404040" w:sz="4" w:space="0"/>
              <w:right w:val="single" w:color="404040" w:sz="4" w:space="0"/>
            </w:tcBorders>
            <w:vAlign w:val="center"/>
          </w:tcPr>
          <w:p w14:paraId="27A398D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30</w:t>
            </w:r>
          </w:p>
        </w:tc>
        <w:tc>
          <w:tcPr>
            <w:tcW w:w="995" w:type="pct"/>
            <w:tcBorders>
              <w:top w:val="single" w:color="404040" w:sz="4" w:space="0"/>
              <w:left w:val="single" w:color="404040" w:sz="4" w:space="0"/>
              <w:bottom w:val="single" w:color="404040" w:sz="4" w:space="0"/>
              <w:right w:val="single" w:color="404040" w:sz="4" w:space="0"/>
            </w:tcBorders>
            <w:vAlign w:val="center"/>
          </w:tcPr>
          <w:p w14:paraId="4A2C319F">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30.2</w:t>
            </w:r>
          </w:p>
        </w:tc>
        <w:tc>
          <w:tcPr>
            <w:tcW w:w="1042" w:type="pct"/>
            <w:tcBorders>
              <w:top w:val="single" w:color="404040" w:sz="4" w:space="0"/>
              <w:left w:val="single" w:color="404040" w:sz="4" w:space="0"/>
              <w:bottom w:val="single" w:color="404040" w:sz="4" w:space="0"/>
              <w:right w:val="single" w:color="auto" w:sz="4" w:space="0"/>
            </w:tcBorders>
            <w:vAlign w:val="center"/>
          </w:tcPr>
          <w:p w14:paraId="1C788AB6">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30</w:t>
            </w:r>
          </w:p>
        </w:tc>
        <w:tc>
          <w:tcPr>
            <w:tcW w:w="1078" w:type="pct"/>
            <w:tcBorders>
              <w:top w:val="single" w:color="404040" w:sz="4" w:space="0"/>
              <w:left w:val="single" w:color="auto" w:sz="4" w:space="0"/>
              <w:bottom w:val="single" w:color="404040" w:sz="4" w:space="0"/>
              <w:right w:val="single" w:color="404040" w:sz="4" w:space="0"/>
            </w:tcBorders>
            <w:vAlign w:val="center"/>
          </w:tcPr>
          <w:p w14:paraId="576E3BD0">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30.2</w:t>
            </w:r>
          </w:p>
        </w:tc>
      </w:tr>
      <w:tr w14:paraId="271A179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0E554C35">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D18S51</w:t>
            </w:r>
          </w:p>
        </w:tc>
        <w:tc>
          <w:tcPr>
            <w:tcW w:w="966" w:type="pct"/>
            <w:tcBorders>
              <w:top w:val="single" w:color="404040" w:sz="4" w:space="0"/>
              <w:left w:val="single" w:color="404040" w:sz="4" w:space="0"/>
              <w:bottom w:val="single" w:color="404040" w:sz="4" w:space="0"/>
              <w:right w:val="single" w:color="404040" w:sz="4" w:space="0"/>
            </w:tcBorders>
            <w:vAlign w:val="center"/>
          </w:tcPr>
          <w:p w14:paraId="79593CC1">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995" w:type="pct"/>
            <w:tcBorders>
              <w:top w:val="single" w:color="404040" w:sz="4" w:space="0"/>
              <w:left w:val="single" w:color="404040" w:sz="4" w:space="0"/>
              <w:bottom w:val="single" w:color="404040" w:sz="4" w:space="0"/>
              <w:right w:val="single" w:color="404040" w:sz="4" w:space="0"/>
            </w:tcBorders>
            <w:vAlign w:val="center"/>
          </w:tcPr>
          <w:p w14:paraId="6F7CBE75">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42" w:type="pct"/>
            <w:tcBorders>
              <w:top w:val="single" w:color="404040" w:sz="4" w:space="0"/>
              <w:left w:val="single" w:color="404040" w:sz="4" w:space="0"/>
              <w:bottom w:val="single" w:color="404040" w:sz="4" w:space="0"/>
              <w:right w:val="single" w:color="auto" w:sz="4" w:space="0"/>
            </w:tcBorders>
            <w:vAlign w:val="center"/>
          </w:tcPr>
          <w:p w14:paraId="1FA38292">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78" w:type="pct"/>
            <w:tcBorders>
              <w:top w:val="single" w:color="404040" w:sz="4" w:space="0"/>
              <w:left w:val="single" w:color="auto" w:sz="4" w:space="0"/>
              <w:bottom w:val="single" w:color="404040" w:sz="4" w:space="0"/>
              <w:right w:val="single" w:color="404040" w:sz="4" w:space="0"/>
            </w:tcBorders>
            <w:vAlign w:val="center"/>
          </w:tcPr>
          <w:p w14:paraId="5ED4DC7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r>
      <w:tr w14:paraId="3C837E0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2F07162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Penta E</w:t>
            </w:r>
          </w:p>
        </w:tc>
        <w:tc>
          <w:tcPr>
            <w:tcW w:w="966" w:type="pct"/>
            <w:tcBorders>
              <w:top w:val="single" w:color="404040" w:sz="4" w:space="0"/>
              <w:left w:val="single" w:color="404040" w:sz="4" w:space="0"/>
              <w:bottom w:val="single" w:color="404040" w:sz="4" w:space="0"/>
              <w:right w:val="single" w:color="404040" w:sz="4" w:space="0"/>
            </w:tcBorders>
            <w:vAlign w:val="center"/>
          </w:tcPr>
          <w:p w14:paraId="3DEAA9E5">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10</w:t>
            </w:r>
          </w:p>
        </w:tc>
        <w:tc>
          <w:tcPr>
            <w:tcW w:w="995" w:type="pct"/>
            <w:tcBorders>
              <w:top w:val="single" w:color="404040" w:sz="4" w:space="0"/>
              <w:left w:val="single" w:color="404040" w:sz="4" w:space="0"/>
              <w:bottom w:val="single" w:color="404040" w:sz="4" w:space="0"/>
              <w:right w:val="single" w:color="404040" w:sz="4" w:space="0"/>
            </w:tcBorders>
            <w:vAlign w:val="center"/>
          </w:tcPr>
          <w:p w14:paraId="6E847F18">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10</w:t>
            </w:r>
          </w:p>
        </w:tc>
        <w:tc>
          <w:tcPr>
            <w:tcW w:w="1042" w:type="pct"/>
            <w:tcBorders>
              <w:top w:val="single" w:color="404040" w:sz="4" w:space="0"/>
              <w:left w:val="single" w:color="404040" w:sz="4" w:space="0"/>
              <w:bottom w:val="single" w:color="404040" w:sz="4" w:space="0"/>
              <w:right w:val="single" w:color="auto" w:sz="4" w:space="0"/>
            </w:tcBorders>
            <w:vAlign w:val="center"/>
          </w:tcPr>
          <w:p w14:paraId="6C0CB1C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10</w:t>
            </w:r>
          </w:p>
        </w:tc>
        <w:tc>
          <w:tcPr>
            <w:tcW w:w="1078" w:type="pct"/>
            <w:tcBorders>
              <w:top w:val="single" w:color="404040" w:sz="4" w:space="0"/>
              <w:left w:val="single" w:color="auto" w:sz="4" w:space="0"/>
              <w:bottom w:val="single" w:color="404040" w:sz="4" w:space="0"/>
              <w:right w:val="single" w:color="404040" w:sz="4" w:space="0"/>
            </w:tcBorders>
            <w:vAlign w:val="center"/>
          </w:tcPr>
          <w:p w14:paraId="3E0E0FD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10</w:t>
            </w:r>
          </w:p>
        </w:tc>
      </w:tr>
      <w:tr w14:paraId="2BBFA54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1B85DBB6">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Penta D</w:t>
            </w:r>
          </w:p>
        </w:tc>
        <w:tc>
          <w:tcPr>
            <w:tcW w:w="966" w:type="pct"/>
            <w:tcBorders>
              <w:top w:val="single" w:color="404040" w:sz="4" w:space="0"/>
              <w:left w:val="single" w:color="404040" w:sz="4" w:space="0"/>
              <w:bottom w:val="single" w:color="404040" w:sz="4" w:space="0"/>
              <w:right w:val="single" w:color="404040" w:sz="4" w:space="0"/>
            </w:tcBorders>
            <w:vAlign w:val="center"/>
          </w:tcPr>
          <w:p w14:paraId="794A8571">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9</w:t>
            </w:r>
          </w:p>
        </w:tc>
        <w:tc>
          <w:tcPr>
            <w:tcW w:w="995" w:type="pct"/>
            <w:tcBorders>
              <w:top w:val="single" w:color="404040" w:sz="4" w:space="0"/>
              <w:left w:val="single" w:color="404040" w:sz="4" w:space="0"/>
              <w:bottom w:val="single" w:color="404040" w:sz="4" w:space="0"/>
              <w:right w:val="single" w:color="404040" w:sz="4" w:space="0"/>
            </w:tcBorders>
            <w:vAlign w:val="center"/>
          </w:tcPr>
          <w:p w14:paraId="3AEE465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15</w:t>
            </w:r>
          </w:p>
        </w:tc>
        <w:tc>
          <w:tcPr>
            <w:tcW w:w="1042" w:type="pct"/>
            <w:tcBorders>
              <w:top w:val="single" w:color="404040" w:sz="4" w:space="0"/>
              <w:left w:val="single" w:color="404040" w:sz="4" w:space="0"/>
              <w:bottom w:val="single" w:color="404040" w:sz="4" w:space="0"/>
              <w:right w:val="single" w:color="auto" w:sz="4" w:space="0"/>
            </w:tcBorders>
            <w:vAlign w:val="center"/>
          </w:tcPr>
          <w:p w14:paraId="620CA4CF">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9</w:t>
            </w:r>
          </w:p>
        </w:tc>
        <w:tc>
          <w:tcPr>
            <w:tcW w:w="1078" w:type="pct"/>
            <w:tcBorders>
              <w:top w:val="single" w:color="404040" w:sz="4" w:space="0"/>
              <w:left w:val="single" w:color="auto" w:sz="4" w:space="0"/>
              <w:bottom w:val="single" w:color="404040" w:sz="4" w:space="0"/>
              <w:right w:val="single" w:color="404040" w:sz="4" w:space="0"/>
            </w:tcBorders>
            <w:vAlign w:val="center"/>
          </w:tcPr>
          <w:p w14:paraId="1A1B7E0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15</w:t>
            </w:r>
          </w:p>
        </w:tc>
      </w:tr>
      <w:tr w14:paraId="2143B92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72350FA6">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D8S1179</w:t>
            </w:r>
          </w:p>
        </w:tc>
        <w:tc>
          <w:tcPr>
            <w:tcW w:w="966" w:type="pct"/>
            <w:tcBorders>
              <w:top w:val="single" w:color="404040" w:sz="4" w:space="0"/>
              <w:left w:val="single" w:color="404040" w:sz="4" w:space="0"/>
              <w:bottom w:val="single" w:color="404040" w:sz="4" w:space="0"/>
              <w:right w:val="single" w:color="404040" w:sz="4" w:space="0"/>
            </w:tcBorders>
            <w:vAlign w:val="center"/>
          </w:tcPr>
          <w:p w14:paraId="78A65899">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995" w:type="pct"/>
            <w:tcBorders>
              <w:top w:val="single" w:color="404040" w:sz="4" w:space="0"/>
              <w:left w:val="single" w:color="404040" w:sz="4" w:space="0"/>
              <w:bottom w:val="single" w:color="404040" w:sz="4" w:space="0"/>
              <w:right w:val="single" w:color="404040" w:sz="4" w:space="0"/>
            </w:tcBorders>
            <w:vAlign w:val="center"/>
          </w:tcPr>
          <w:p w14:paraId="20A1EB2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42" w:type="pct"/>
            <w:tcBorders>
              <w:top w:val="single" w:color="404040" w:sz="4" w:space="0"/>
              <w:left w:val="single" w:color="404040" w:sz="4" w:space="0"/>
              <w:bottom w:val="single" w:color="404040" w:sz="4" w:space="0"/>
              <w:right w:val="single" w:color="auto" w:sz="4" w:space="0"/>
            </w:tcBorders>
            <w:vAlign w:val="center"/>
          </w:tcPr>
          <w:p w14:paraId="7EC81874">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78" w:type="pct"/>
            <w:tcBorders>
              <w:top w:val="single" w:color="404040" w:sz="4" w:space="0"/>
              <w:left w:val="single" w:color="auto" w:sz="4" w:space="0"/>
              <w:bottom w:val="single" w:color="404040" w:sz="4" w:space="0"/>
              <w:right w:val="single" w:color="404040" w:sz="4" w:space="0"/>
            </w:tcBorders>
            <w:vAlign w:val="center"/>
          </w:tcPr>
          <w:p w14:paraId="5D5F04B0">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r>
      <w:tr w14:paraId="5955C82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3E23694F">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FGA</w:t>
            </w:r>
          </w:p>
        </w:tc>
        <w:tc>
          <w:tcPr>
            <w:tcW w:w="966" w:type="pct"/>
            <w:tcBorders>
              <w:top w:val="single" w:color="404040" w:sz="4" w:space="0"/>
              <w:left w:val="single" w:color="404040" w:sz="4" w:space="0"/>
              <w:bottom w:val="single" w:color="404040" w:sz="4" w:space="0"/>
              <w:right w:val="single" w:color="404040" w:sz="4" w:space="0"/>
            </w:tcBorders>
            <w:vAlign w:val="center"/>
          </w:tcPr>
          <w:p w14:paraId="6F8BC880">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24</w:t>
            </w:r>
          </w:p>
        </w:tc>
        <w:tc>
          <w:tcPr>
            <w:tcW w:w="995" w:type="pct"/>
            <w:tcBorders>
              <w:top w:val="single" w:color="404040" w:sz="4" w:space="0"/>
              <w:left w:val="single" w:color="404040" w:sz="4" w:space="0"/>
              <w:bottom w:val="single" w:color="404040" w:sz="4" w:space="0"/>
              <w:right w:val="single" w:color="404040" w:sz="4" w:space="0"/>
            </w:tcBorders>
            <w:vAlign w:val="center"/>
          </w:tcPr>
          <w:p w14:paraId="6097B74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24</w:t>
            </w:r>
          </w:p>
        </w:tc>
        <w:tc>
          <w:tcPr>
            <w:tcW w:w="1042" w:type="pct"/>
            <w:tcBorders>
              <w:top w:val="single" w:color="404040" w:sz="4" w:space="0"/>
              <w:left w:val="single" w:color="404040" w:sz="4" w:space="0"/>
              <w:bottom w:val="single" w:color="404040" w:sz="4" w:space="0"/>
              <w:right w:val="single" w:color="auto" w:sz="4" w:space="0"/>
            </w:tcBorders>
            <w:vAlign w:val="center"/>
          </w:tcPr>
          <w:p w14:paraId="37601F40">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24</w:t>
            </w:r>
          </w:p>
        </w:tc>
        <w:tc>
          <w:tcPr>
            <w:tcW w:w="1078" w:type="pct"/>
            <w:tcBorders>
              <w:top w:val="single" w:color="404040" w:sz="4" w:space="0"/>
              <w:left w:val="single" w:color="auto" w:sz="4" w:space="0"/>
              <w:bottom w:val="single" w:color="404040" w:sz="4" w:space="0"/>
              <w:right w:val="single" w:color="404040" w:sz="4" w:space="0"/>
            </w:tcBorders>
            <w:vAlign w:val="center"/>
          </w:tcPr>
          <w:p w14:paraId="7D9BB40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24</w:t>
            </w:r>
          </w:p>
        </w:tc>
      </w:tr>
      <w:tr w14:paraId="5A68EC1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4AEC841E">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D19S433</w:t>
            </w:r>
          </w:p>
        </w:tc>
        <w:tc>
          <w:tcPr>
            <w:tcW w:w="966" w:type="pct"/>
            <w:tcBorders>
              <w:top w:val="single" w:color="404040" w:sz="4" w:space="0"/>
              <w:left w:val="single" w:color="404040" w:sz="4" w:space="0"/>
              <w:bottom w:val="single" w:color="404040" w:sz="4" w:space="0"/>
              <w:right w:val="single" w:color="404040" w:sz="4" w:space="0"/>
            </w:tcBorders>
            <w:vAlign w:val="center"/>
          </w:tcPr>
          <w:p w14:paraId="6E9547B7">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995" w:type="pct"/>
            <w:tcBorders>
              <w:top w:val="single" w:color="404040" w:sz="4" w:space="0"/>
              <w:left w:val="single" w:color="404040" w:sz="4" w:space="0"/>
              <w:bottom w:val="single" w:color="404040" w:sz="4" w:space="0"/>
              <w:right w:val="single" w:color="404040" w:sz="4" w:space="0"/>
            </w:tcBorders>
            <w:vAlign w:val="center"/>
          </w:tcPr>
          <w:p w14:paraId="6FED28FF">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42" w:type="pct"/>
            <w:tcBorders>
              <w:top w:val="single" w:color="404040" w:sz="4" w:space="0"/>
              <w:left w:val="single" w:color="404040" w:sz="4" w:space="0"/>
              <w:bottom w:val="single" w:color="404040" w:sz="4" w:space="0"/>
              <w:right w:val="single" w:color="auto" w:sz="4" w:space="0"/>
            </w:tcBorders>
            <w:vAlign w:val="center"/>
          </w:tcPr>
          <w:p w14:paraId="784A9FAA">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c>
          <w:tcPr>
            <w:tcW w:w="1078" w:type="pct"/>
            <w:tcBorders>
              <w:top w:val="single" w:color="404040" w:sz="4" w:space="0"/>
              <w:left w:val="single" w:color="auto" w:sz="4" w:space="0"/>
              <w:bottom w:val="single" w:color="404040" w:sz="4" w:space="0"/>
              <w:right w:val="single" w:color="404040" w:sz="4" w:space="0"/>
            </w:tcBorders>
            <w:vAlign w:val="center"/>
          </w:tcPr>
          <w:p w14:paraId="61DC45A6">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13</w:t>
            </w:r>
          </w:p>
        </w:tc>
      </w:tr>
      <w:tr w14:paraId="3A72AB3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58" w:hRule="atLeast"/>
        </w:trPr>
        <w:tc>
          <w:tcPr>
            <w:tcW w:w="919" w:type="pct"/>
            <w:tcBorders>
              <w:top w:val="single" w:color="404040" w:sz="4" w:space="0"/>
              <w:left w:val="single" w:color="404040" w:sz="4" w:space="0"/>
              <w:bottom w:val="single" w:color="404040" w:sz="4" w:space="0"/>
              <w:right w:val="single" w:color="404040" w:sz="4" w:space="0"/>
            </w:tcBorders>
            <w:vAlign w:val="center"/>
          </w:tcPr>
          <w:p w14:paraId="0636E337">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D2S1338</w:t>
            </w:r>
          </w:p>
        </w:tc>
        <w:tc>
          <w:tcPr>
            <w:tcW w:w="966" w:type="pct"/>
            <w:tcBorders>
              <w:top w:val="single" w:color="404040" w:sz="4" w:space="0"/>
              <w:left w:val="single" w:color="404040" w:sz="4" w:space="0"/>
              <w:bottom w:val="single" w:color="404040" w:sz="4" w:space="0"/>
              <w:right w:val="single" w:color="404040" w:sz="4" w:space="0"/>
            </w:tcBorders>
            <w:vAlign w:val="center"/>
          </w:tcPr>
          <w:p w14:paraId="02B75DD2">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17</w:t>
            </w:r>
          </w:p>
        </w:tc>
        <w:tc>
          <w:tcPr>
            <w:tcW w:w="995" w:type="pct"/>
            <w:tcBorders>
              <w:top w:val="single" w:color="404040" w:sz="4" w:space="0"/>
              <w:left w:val="single" w:color="404040" w:sz="4" w:space="0"/>
              <w:bottom w:val="single" w:color="404040" w:sz="4" w:space="0"/>
              <w:right w:val="single" w:color="404040" w:sz="4" w:space="0"/>
            </w:tcBorders>
            <w:vAlign w:val="center"/>
          </w:tcPr>
          <w:p w14:paraId="4F96F48A">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24</w:t>
            </w:r>
          </w:p>
        </w:tc>
        <w:tc>
          <w:tcPr>
            <w:tcW w:w="1042" w:type="pct"/>
            <w:tcBorders>
              <w:top w:val="single" w:color="404040" w:sz="4" w:space="0"/>
              <w:left w:val="single" w:color="404040" w:sz="4" w:space="0"/>
              <w:bottom w:val="single" w:color="404040" w:sz="4" w:space="0"/>
              <w:right w:val="single" w:color="auto" w:sz="4" w:space="0"/>
            </w:tcBorders>
            <w:vAlign w:val="center"/>
          </w:tcPr>
          <w:p w14:paraId="6D303543">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17</w:t>
            </w:r>
          </w:p>
        </w:tc>
        <w:tc>
          <w:tcPr>
            <w:tcW w:w="1078" w:type="pct"/>
            <w:tcBorders>
              <w:top w:val="single" w:color="404040" w:sz="4" w:space="0"/>
              <w:left w:val="single" w:color="auto" w:sz="4" w:space="0"/>
              <w:bottom w:val="single" w:color="404040" w:sz="4" w:space="0"/>
              <w:right w:val="single" w:color="404040" w:sz="4" w:space="0"/>
            </w:tcBorders>
            <w:vAlign w:val="center"/>
          </w:tcPr>
          <w:p w14:paraId="6D784818">
            <w:pPr>
              <w:widowControl/>
              <w:spacing w:before="280" w:beforeAutospacing="1" w:after="280" w:afterAutospacing="1" w:line="276" w:lineRule="auto"/>
              <w:jc w:val="center"/>
              <w:rPr>
                <w:rFonts w:hint="eastAsia" w:ascii="宋体" w:hAnsi="宋体" w:eastAsia="宋体" w:cs="Times New Roman"/>
                <w:kern w:val="0"/>
                <w:sz w:val="21"/>
                <w:szCs w:val="21"/>
                <w:highlight w:val="none"/>
                <w14:ligatures w14:val="none"/>
              </w:rPr>
            </w:pPr>
            <w:r>
              <w:rPr>
                <w:rFonts w:hint="eastAsia" w:ascii="宋体" w:hAnsi="宋体" w:eastAsia="宋体" w:cs="Times New Roman"/>
                <w:kern w:val="0"/>
                <w:sz w:val="21"/>
                <w:szCs w:val="21"/>
                <w:highlight w:val="none"/>
                <w14:ligatures w14:val="none"/>
              </w:rPr>
              <w:t>24</w:t>
            </w:r>
          </w:p>
        </w:tc>
      </w:tr>
    </w:tbl>
    <w:p w14:paraId="5C1E54FC">
      <w:pPr>
        <w:widowControl/>
        <w:adjustRightInd w:val="0"/>
        <w:snapToGrid w:val="0"/>
        <w:spacing w:before="160" w:line="240" w:lineRule="auto"/>
        <w:rPr>
          <w:rFonts w:ascii="Times New Roman" w:hAnsi="Times New Roman" w:eastAsia="宋体"/>
          <w:b/>
          <w:bCs/>
          <w:sz w:val="24"/>
          <w:highlight w:val="none"/>
        </w:rPr>
      </w:pPr>
      <w:r>
        <w:rPr>
          <w:rFonts w:hint="eastAsia" w:ascii="Times New Roman" w:hAnsi="Times New Roman" w:eastAsia="宋体"/>
          <w:b/>
          <w:bCs/>
          <w:sz w:val="24"/>
          <w:highlight w:val="none"/>
        </w:rPr>
        <w:t>STR位点信息：</w:t>
      </w:r>
    </w:p>
    <w:p w14:paraId="12AF2DC1">
      <w:pPr>
        <w:widowControl/>
        <w:adjustRightInd w:val="0"/>
        <w:snapToGrid w:val="0"/>
        <w:spacing w:before="160" w:line="240" w:lineRule="auto"/>
        <w:rPr>
          <w:rFonts w:ascii="Times New Roman" w:hAnsi="Times New Roman" w:eastAsia="宋体"/>
          <w:b/>
          <w:bCs/>
          <w:sz w:val="24"/>
          <w:highlight w:val="none"/>
        </w:rPr>
      </w:pPr>
    </w:p>
    <w:p w14:paraId="383B1A91">
      <w:pPr>
        <w:rPr>
          <w:rFonts w:hint="eastAsia"/>
          <w:highlight w:val="none"/>
        </w:rPr>
        <w:sectPr>
          <w:pgSz w:w="11906" w:h="16838"/>
          <w:pgMar w:top="1440" w:right="1800" w:bottom="1440" w:left="1800" w:header="851" w:footer="992" w:gutter="0"/>
          <w:cols w:space="425" w:num="1"/>
          <w:docGrid w:type="lines" w:linePitch="312" w:charSpace="0"/>
        </w:sectPr>
      </w:pPr>
    </w:p>
    <w:p w14:paraId="4E76EBFD">
      <w:pPr>
        <w:adjustRightInd w:val="0"/>
        <w:snapToGrid w:val="0"/>
        <w:spacing w:before="156" w:beforeLines="50" w:after="156" w:afterLines="50" w:line="240" w:lineRule="auto"/>
        <w:rPr>
          <w:rFonts w:hint="eastAsia" w:ascii="黑体" w:hAnsi="黑体" w:eastAsia="黑体"/>
          <w:sz w:val="28"/>
          <w:szCs w:val="28"/>
          <w:highlight w:val="none"/>
        </w:rPr>
      </w:pPr>
      <w:r>
        <w:rPr>
          <w:rFonts w:hint="eastAsia" w:ascii="黑体" w:hAnsi="黑体" w:eastAsia="黑体"/>
          <w:sz w:val="28"/>
          <w:szCs w:val="28"/>
          <w:highlight w:val="none"/>
        </w:rPr>
        <w:t>三、处理方式</w:t>
      </w:r>
    </w:p>
    <w:p w14:paraId="43483568">
      <w:pPr>
        <w:adjustRightInd w:val="0"/>
        <w:snapToGrid w:val="0"/>
        <w:spacing w:before="156" w:beforeLines="50" w:after="156" w:afterLines="50" w:line="300" w:lineRule="auto"/>
        <w:rPr>
          <w:rFonts w:hint="eastAsia" w:ascii="宋体" w:hAnsi="宋体" w:eastAsia="宋体"/>
          <w:sz w:val="24"/>
          <w:highlight w:val="none"/>
        </w:rPr>
      </w:pPr>
      <w:r>
        <w:rPr>
          <w:rFonts w:hint="eastAsia" w:ascii="宋体" w:hAnsi="宋体" w:eastAsia="宋体"/>
          <w:b/>
          <w:bCs/>
          <w:sz w:val="24"/>
          <w:highlight w:val="none"/>
        </w:rPr>
        <w:t>常温细胞处理</w:t>
      </w:r>
      <w:r>
        <w:rPr>
          <w:rFonts w:hint="eastAsia" w:ascii="宋体" w:hAnsi="宋体" w:eastAsia="宋体"/>
          <w:sz w:val="24"/>
          <w:highlight w:val="none"/>
        </w:rPr>
        <w:t>：</w:t>
      </w:r>
    </w:p>
    <w:p w14:paraId="4435B138">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1、收到常温细胞后，及时拍照并记录有无漏液、瓶身破损现象；</w:t>
      </w:r>
    </w:p>
    <w:p w14:paraId="5ADC9466">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2、用75%酒精擦拭细胞培养瓶表面，在显微镜下观察细胞状态。先不打开培养瓶盖，将细胞置于细胞培养箱内平衡复温2-4小时，稳定细胞状态；</w:t>
      </w:r>
    </w:p>
    <w:p w14:paraId="5B35EBD6">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3、细胞稳定后，仔细阅读本说明书，了解细胞生长特性、培养体系、冻存条件、传代步骤等相关信息；</w:t>
      </w:r>
    </w:p>
    <w:p w14:paraId="3EA56854">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4、吸走大部分培养基离心备用，留10-12 ml培养基，拍照并观察细胞。若细胞密度高于80%，可吸走培养基进行传代；若密度低于80%，则留10-12 ml继续培养至密度高于80%后再传代；</w:t>
      </w:r>
    </w:p>
    <w:p w14:paraId="6AA03475">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5、T25瓶首次传代建议按1:2比例进行，即1个T25瓶传为2瓶。</w:t>
      </w:r>
    </w:p>
    <w:p w14:paraId="1F095375">
      <w:pPr>
        <w:adjustRightInd w:val="0"/>
        <w:snapToGrid w:val="0"/>
        <w:spacing w:before="156" w:beforeLines="50" w:after="156" w:afterLines="50" w:line="300" w:lineRule="auto"/>
        <w:rPr>
          <w:rFonts w:hint="eastAsia" w:ascii="宋体" w:hAnsi="宋体" w:eastAsia="宋体"/>
          <w:sz w:val="24"/>
          <w:highlight w:val="none"/>
        </w:rPr>
      </w:pPr>
      <w:r>
        <w:rPr>
          <w:rFonts w:hint="eastAsia" w:ascii="宋体" w:hAnsi="宋体" w:eastAsia="宋体"/>
          <w:b/>
          <w:bCs/>
          <w:sz w:val="24"/>
          <w:highlight w:val="none"/>
        </w:rPr>
        <w:t>冻存细胞处理</w:t>
      </w:r>
      <w:r>
        <w:rPr>
          <w:rFonts w:hint="eastAsia" w:ascii="宋体" w:hAnsi="宋体" w:eastAsia="宋体"/>
          <w:sz w:val="24"/>
          <w:highlight w:val="none"/>
        </w:rPr>
        <w:t>：</w:t>
      </w:r>
    </w:p>
    <w:p w14:paraId="43D37902">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1、收到细胞后，开箱拍照，将冻存管置于冰上核对细胞信息，同时观察冻存管是否完好、有无解冻情况；</w:t>
      </w:r>
    </w:p>
    <w:p w14:paraId="22D622D6">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2、若收到细胞当天不复苏，需及时将细胞转移至液氮罐（过程需迅速，避免细胞离开低温区域）；若无液氮罐，可短时间保存在- 80℃冰箱，长期保存仍需置于液氮罐；</w:t>
      </w:r>
    </w:p>
    <w:p w14:paraId="0C032ECE">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3、提前准备适合该细胞生长的培养基，从冰箱取出后需恢复至室温再使用；</w:t>
      </w:r>
    </w:p>
    <w:p w14:paraId="71275E1D">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4、复苏1管至1个T25瓶或6 cm培养皿中。复苏后可取少量细胞计数并检测活力。</w:t>
      </w:r>
    </w:p>
    <w:p w14:paraId="0E52711B">
      <w:pPr>
        <w:jc w:val="both"/>
        <w:rPr>
          <w:rFonts w:ascii="Times New Roman" w:hAnsi="Times New Roman" w:eastAsia="宋体"/>
          <w:sz w:val="20"/>
          <w:szCs w:val="20"/>
          <w:highlight w:val="none"/>
        </w:rPr>
      </w:pPr>
    </w:p>
    <w:p w14:paraId="0BC9C1F3">
      <w:pPr>
        <w:adjustRightInd w:val="0"/>
        <w:snapToGrid w:val="0"/>
        <w:spacing w:before="156" w:beforeLines="50" w:after="156" w:afterLines="50" w:line="300" w:lineRule="auto"/>
        <w:rPr>
          <w:rFonts w:hint="eastAsia" w:ascii="宋体" w:hAnsi="宋体" w:eastAsia="宋体"/>
          <w:sz w:val="24"/>
          <w:highlight w:val="none"/>
        </w:rPr>
      </w:pPr>
      <w:r>
        <w:rPr>
          <w:rFonts w:hint="eastAsia" w:ascii="宋体" w:hAnsi="宋体" w:eastAsia="宋体"/>
          <w:sz w:val="24"/>
          <w:highlight w:val="none"/>
        </w:rPr>
        <w:sym w:font="Wingdings" w:char="F0AB"/>
      </w:r>
      <w:r>
        <w:rPr>
          <w:rFonts w:hint="eastAsia" w:ascii="宋体" w:hAnsi="宋体" w:eastAsia="宋体"/>
          <w:sz w:val="24"/>
          <w:highlight w:val="none"/>
        </w:rPr>
        <w:t xml:space="preserve"> </w:t>
      </w:r>
      <w:r>
        <w:rPr>
          <w:rFonts w:hint="eastAsia" w:ascii="宋体" w:hAnsi="宋体" w:eastAsia="宋体"/>
          <w:b/>
          <w:bCs/>
          <w:sz w:val="24"/>
          <w:highlight w:val="none"/>
        </w:rPr>
        <w:t>注意事项</w:t>
      </w:r>
      <w:r>
        <w:rPr>
          <w:rFonts w:hint="eastAsia" w:ascii="宋体" w:hAnsi="宋体" w:eastAsia="宋体"/>
          <w:sz w:val="24"/>
          <w:highlight w:val="none"/>
        </w:rPr>
        <w:t>：</w:t>
      </w:r>
    </w:p>
    <w:p w14:paraId="5622300A">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1、若培养瓶或冻存管出现破损、漏液，及时拍照联系销售反馈，按指导处理；仅外包装破损一般不影响使用；</w:t>
      </w:r>
    </w:p>
    <w:p w14:paraId="7899C247">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2、细胞增殖较快，发货细胞量较多时培养基可能变黄。使用此类培养基时，需及时观察颜色变化，缩短换液周期，每瓶多加2-3 ml培养基；</w:t>
      </w:r>
    </w:p>
    <w:p w14:paraId="3DBF050B">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3、若无法观察到细胞，建议收集培养基，1200rpm离心5分钟，观察细胞沉淀量，并用少量培养基重悬沉淀，取部分悬液至计数板或载玻片观察；</w:t>
      </w:r>
    </w:p>
    <w:p w14:paraId="64315C86">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4、本公司提供细胞株技术服务及相应费用，提供完善技术支持和售后服务，收到产品后的处理方式及售后条款参见《细胞售后条例》。</w:t>
      </w:r>
    </w:p>
    <w:p w14:paraId="54B75F3D">
      <w:pPr>
        <w:adjustRightInd w:val="0"/>
        <w:snapToGrid w:val="0"/>
        <w:spacing w:before="156" w:beforeLines="50" w:after="156" w:afterLines="50" w:line="240" w:lineRule="auto"/>
        <w:rPr>
          <w:rFonts w:hint="eastAsia" w:ascii="黑体" w:hAnsi="黑体" w:eastAsia="黑体"/>
          <w:sz w:val="28"/>
          <w:szCs w:val="28"/>
          <w:highlight w:val="none"/>
        </w:rPr>
      </w:pPr>
      <w:r>
        <w:rPr>
          <w:rFonts w:hint="eastAsia" w:ascii="黑体" w:hAnsi="黑体" w:eastAsia="黑体"/>
          <w:sz w:val="28"/>
          <w:szCs w:val="28"/>
          <w:highlight w:val="none"/>
        </w:rPr>
        <w:t>四、细胞复苏</w:t>
      </w:r>
    </w:p>
    <w:p w14:paraId="19CD89D8">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1、将水浴锅预热至37℃，在无菌离心管中提前加入4 ml培养基待用；</w:t>
      </w:r>
    </w:p>
    <w:p w14:paraId="7D2DDF68">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2、从液氮罐或-80℃冰箱中取出需复苏的细胞，将细胞冻存管迅速没入水浴锅，摇晃冻存管加速溶解，溶解时间约1-2分钟；</w:t>
      </w:r>
    </w:p>
    <w:p w14:paraId="63E0A4F8">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3、在超净台中将融化的细胞悬液加入装有4 ml培养基的离心管，1000 rpm（约300 g离心力）离心5分钟，弃上清；</w:t>
      </w:r>
    </w:p>
    <w:p w14:paraId="3C25B89A">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4、用适量完全培养基重悬细胞，转移至T25细胞培养瓶，补充培养基至5 ml，放入培养箱培养，第二天观察细胞状态和密度。</w:t>
      </w:r>
    </w:p>
    <w:p w14:paraId="0E27C51D">
      <w:pPr>
        <w:adjustRightInd w:val="0"/>
        <w:snapToGrid w:val="0"/>
        <w:spacing w:before="156" w:beforeLines="50" w:after="156" w:afterLines="50" w:line="240" w:lineRule="auto"/>
        <w:rPr>
          <w:rFonts w:hint="eastAsia" w:ascii="黑体" w:hAnsi="黑体" w:eastAsia="黑体"/>
          <w:sz w:val="28"/>
          <w:szCs w:val="28"/>
          <w:highlight w:val="none"/>
        </w:rPr>
      </w:pPr>
      <w:r>
        <w:rPr>
          <w:rFonts w:hint="eastAsia" w:ascii="黑体" w:hAnsi="黑体" w:eastAsia="黑体"/>
          <w:sz w:val="28"/>
          <w:szCs w:val="28"/>
          <w:highlight w:val="none"/>
        </w:rPr>
        <w:t>五、细胞传代</w:t>
      </w:r>
    </w:p>
    <w:p w14:paraId="26C1A2DB">
      <w:pPr>
        <w:jc w:val="both"/>
        <w:rPr>
          <w:rFonts w:ascii="Times New Roman" w:hAnsi="Times New Roman" w:eastAsia="宋体"/>
          <w:sz w:val="20"/>
          <w:szCs w:val="20"/>
          <w:highlight w:val="none"/>
        </w:rPr>
      </w:pPr>
      <w:r>
        <w:rPr>
          <w:rFonts w:ascii="Times New Roman" w:hAnsi="Times New Roman" w:eastAsia="宋体"/>
          <w:sz w:val="20"/>
          <w:szCs w:val="20"/>
          <w:highlight w:val="none"/>
        </w:rPr>
        <w:t>当细胞密度大于80%时即可进行传代培养，步骤如下：</w:t>
      </w:r>
    </w:p>
    <w:p w14:paraId="6D9183AC">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1、</w:t>
      </w:r>
      <w:r>
        <w:rPr>
          <w:rFonts w:ascii="Times New Roman" w:hAnsi="Times New Roman" w:eastAsia="宋体"/>
          <w:sz w:val="20"/>
          <w:szCs w:val="20"/>
          <w:highlight w:val="none"/>
        </w:rPr>
        <w:t>尽量吸净T25瓶中的原培养基；</w:t>
      </w:r>
    </w:p>
    <w:p w14:paraId="02754EB5">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2、</w:t>
      </w:r>
      <w:r>
        <w:rPr>
          <w:rFonts w:ascii="Times New Roman" w:hAnsi="Times New Roman" w:eastAsia="宋体"/>
          <w:sz w:val="20"/>
          <w:szCs w:val="20"/>
          <w:highlight w:val="none"/>
        </w:rPr>
        <w:t>加入3-4</w:t>
      </w:r>
      <w:r>
        <w:rPr>
          <w:rFonts w:hint="eastAsia" w:ascii="Times New Roman" w:hAnsi="Times New Roman" w:eastAsia="宋体"/>
          <w:sz w:val="20"/>
          <w:szCs w:val="20"/>
          <w:highlight w:val="none"/>
        </w:rPr>
        <w:t xml:space="preserve"> </w:t>
      </w:r>
      <w:r>
        <w:rPr>
          <w:rFonts w:ascii="Times New Roman" w:hAnsi="Times New Roman" w:eastAsia="宋体"/>
          <w:sz w:val="20"/>
          <w:szCs w:val="20"/>
          <w:highlight w:val="none"/>
        </w:rPr>
        <w:t>ml常温不含钙、镁离子的PBS，轻轻润洗细胞1-2次后吸走PBS；</w:t>
      </w:r>
    </w:p>
    <w:p w14:paraId="6959148C">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3、</w:t>
      </w:r>
      <w:r>
        <w:rPr>
          <w:rFonts w:ascii="Times New Roman" w:hAnsi="Times New Roman" w:eastAsia="宋体"/>
          <w:sz w:val="20"/>
          <w:szCs w:val="20"/>
          <w:highlight w:val="none"/>
        </w:rPr>
        <w:t>向T25瓶中加入1</w:t>
      </w:r>
      <w:r>
        <w:rPr>
          <w:rFonts w:hint="eastAsia" w:ascii="Times New Roman" w:hAnsi="Times New Roman" w:eastAsia="宋体"/>
          <w:sz w:val="20"/>
          <w:szCs w:val="20"/>
          <w:highlight w:val="none"/>
        </w:rPr>
        <w:t xml:space="preserve"> </w:t>
      </w:r>
      <w:r>
        <w:rPr>
          <w:rFonts w:ascii="Times New Roman" w:hAnsi="Times New Roman" w:eastAsia="宋体"/>
          <w:sz w:val="20"/>
          <w:szCs w:val="20"/>
          <w:highlight w:val="none"/>
        </w:rPr>
        <w:t>ml含EDTA的胰酶，轻轻晃动培养瓶，使胰酶均匀</w:t>
      </w:r>
      <w:r>
        <w:rPr>
          <w:rFonts w:hint="eastAsia" w:ascii="Times New Roman" w:hAnsi="Times New Roman" w:eastAsia="宋体"/>
          <w:sz w:val="20"/>
          <w:szCs w:val="20"/>
          <w:highlight w:val="none"/>
        </w:rPr>
        <w:t>分布于</w:t>
      </w:r>
      <w:r>
        <w:rPr>
          <w:rFonts w:ascii="Times New Roman" w:hAnsi="Times New Roman" w:eastAsia="宋体"/>
          <w:sz w:val="20"/>
          <w:szCs w:val="20"/>
          <w:highlight w:val="none"/>
        </w:rPr>
        <w:t>瓶底细胞层；</w:t>
      </w:r>
    </w:p>
    <w:p w14:paraId="197631CE">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4、</w:t>
      </w:r>
      <w:r>
        <w:rPr>
          <w:rFonts w:ascii="Times New Roman" w:hAnsi="Times New Roman" w:eastAsia="宋体"/>
          <w:sz w:val="20"/>
          <w:szCs w:val="20"/>
          <w:highlight w:val="none"/>
        </w:rPr>
        <w:t>将培养瓶放入37℃培养箱消化；</w:t>
      </w:r>
    </w:p>
    <w:p w14:paraId="66616860">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5、</w:t>
      </w:r>
      <w:r>
        <w:rPr>
          <w:rFonts w:ascii="Times New Roman" w:hAnsi="Times New Roman" w:eastAsia="宋体"/>
          <w:sz w:val="20"/>
          <w:szCs w:val="20"/>
          <w:highlight w:val="none"/>
        </w:rPr>
        <w:t>待细胞</w:t>
      </w:r>
      <w:r>
        <w:rPr>
          <w:rFonts w:hint="eastAsia" w:ascii="Times New Roman" w:hAnsi="Times New Roman" w:eastAsia="宋体"/>
          <w:sz w:val="20"/>
          <w:szCs w:val="20"/>
          <w:highlight w:val="none"/>
        </w:rPr>
        <w:t>变圆并开始脱落时</w:t>
      </w:r>
      <w:r>
        <w:rPr>
          <w:rFonts w:ascii="Times New Roman" w:hAnsi="Times New Roman" w:eastAsia="宋体"/>
          <w:sz w:val="20"/>
          <w:szCs w:val="20"/>
          <w:highlight w:val="none"/>
        </w:rPr>
        <w:t>，加入</w:t>
      </w:r>
      <w:r>
        <w:rPr>
          <w:rFonts w:hint="eastAsia" w:ascii="Times New Roman" w:hAnsi="Times New Roman" w:eastAsia="宋体"/>
          <w:sz w:val="20"/>
          <w:szCs w:val="20"/>
          <w:highlight w:val="none"/>
        </w:rPr>
        <w:t xml:space="preserve">1 </w:t>
      </w:r>
      <w:r>
        <w:rPr>
          <w:rFonts w:ascii="Times New Roman" w:hAnsi="Times New Roman" w:eastAsia="宋体"/>
          <w:sz w:val="20"/>
          <w:szCs w:val="20"/>
          <w:highlight w:val="none"/>
        </w:rPr>
        <w:t>ml完全培养基终止消化；</w:t>
      </w:r>
    </w:p>
    <w:p w14:paraId="41EE2216">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6、</w:t>
      </w:r>
      <w:r>
        <w:rPr>
          <w:rFonts w:ascii="Times New Roman" w:hAnsi="Times New Roman" w:eastAsia="宋体"/>
          <w:sz w:val="20"/>
          <w:szCs w:val="20"/>
          <w:highlight w:val="none"/>
        </w:rPr>
        <w:t>轻轻吹打</w:t>
      </w:r>
      <w:r>
        <w:rPr>
          <w:rFonts w:hint="eastAsia" w:ascii="Times New Roman" w:hAnsi="Times New Roman" w:eastAsia="宋体"/>
          <w:sz w:val="20"/>
          <w:szCs w:val="20"/>
          <w:highlight w:val="none"/>
        </w:rPr>
        <w:t>使</w:t>
      </w:r>
      <w:r>
        <w:rPr>
          <w:rFonts w:ascii="Times New Roman" w:hAnsi="Times New Roman" w:eastAsia="宋体"/>
          <w:sz w:val="20"/>
          <w:szCs w:val="20"/>
          <w:highlight w:val="none"/>
        </w:rPr>
        <w:t>细胞</w:t>
      </w:r>
      <w:r>
        <w:rPr>
          <w:rFonts w:hint="eastAsia" w:ascii="Times New Roman" w:hAnsi="Times New Roman" w:eastAsia="宋体"/>
          <w:sz w:val="20"/>
          <w:szCs w:val="20"/>
          <w:highlight w:val="none"/>
        </w:rPr>
        <w:t>脱落</w:t>
      </w:r>
      <w:r>
        <w:rPr>
          <w:rFonts w:ascii="Times New Roman" w:hAnsi="Times New Roman" w:eastAsia="宋体"/>
          <w:sz w:val="20"/>
          <w:szCs w:val="20"/>
          <w:highlight w:val="none"/>
        </w:rPr>
        <w:t>，</w:t>
      </w:r>
      <w:r>
        <w:rPr>
          <w:rFonts w:hint="eastAsia" w:ascii="Times New Roman" w:hAnsi="Times New Roman" w:eastAsia="宋体"/>
          <w:sz w:val="20"/>
          <w:szCs w:val="20"/>
          <w:highlight w:val="none"/>
        </w:rPr>
        <w:t>转移至无菌的5 ml离心管，</w:t>
      </w:r>
      <w:r>
        <w:rPr>
          <w:rFonts w:ascii="Times New Roman" w:hAnsi="Times New Roman" w:eastAsia="宋体"/>
          <w:sz w:val="20"/>
          <w:szCs w:val="20"/>
          <w:highlight w:val="none"/>
        </w:rPr>
        <w:t>1000rpm离心5分钟，弃上清；</w:t>
      </w:r>
    </w:p>
    <w:p w14:paraId="468C80B3">
      <w:pPr>
        <w:jc w:val="both"/>
        <w:rPr>
          <w:rFonts w:ascii="Times New Roman" w:hAnsi="Times New Roman" w:eastAsia="宋体"/>
          <w:sz w:val="20"/>
          <w:szCs w:val="20"/>
          <w:highlight w:val="none"/>
        </w:rPr>
      </w:pPr>
      <w:r>
        <w:rPr>
          <w:rFonts w:hint="eastAsia" w:ascii="Times New Roman" w:hAnsi="Times New Roman" w:eastAsia="宋体"/>
          <w:sz w:val="20"/>
          <w:szCs w:val="20"/>
          <w:highlight w:val="none"/>
        </w:rPr>
        <w:t>7、</w:t>
      </w:r>
      <w:r>
        <w:rPr>
          <w:rFonts w:ascii="Times New Roman" w:hAnsi="Times New Roman" w:eastAsia="宋体"/>
          <w:sz w:val="20"/>
          <w:szCs w:val="20"/>
          <w:highlight w:val="none"/>
        </w:rPr>
        <w:t>加入新的完全培养基轻轻重悬细胞，</w:t>
      </w:r>
      <w:r>
        <w:rPr>
          <w:rFonts w:hint="eastAsia" w:ascii="Times New Roman" w:hAnsi="Times New Roman" w:eastAsia="宋体"/>
          <w:sz w:val="20"/>
          <w:szCs w:val="20"/>
          <w:highlight w:val="none"/>
        </w:rPr>
        <w:t>将细胞转移到</w:t>
      </w:r>
      <w:r>
        <w:rPr>
          <w:rFonts w:ascii="Times New Roman" w:hAnsi="Times New Roman" w:eastAsia="宋体"/>
          <w:sz w:val="20"/>
          <w:szCs w:val="20"/>
          <w:highlight w:val="none"/>
        </w:rPr>
        <w:t>新的培养瓶中</w:t>
      </w:r>
      <w:r>
        <w:rPr>
          <w:rFonts w:hint="eastAsia" w:ascii="Times New Roman" w:hAnsi="Times New Roman" w:eastAsia="宋体"/>
          <w:sz w:val="20"/>
          <w:szCs w:val="20"/>
          <w:highlight w:val="none"/>
        </w:rPr>
        <w:t>并摇匀，加入5 ml完全培养基培养</w:t>
      </w:r>
      <w:r>
        <w:rPr>
          <w:rFonts w:ascii="Times New Roman" w:hAnsi="Times New Roman" w:eastAsia="宋体"/>
          <w:sz w:val="20"/>
          <w:szCs w:val="20"/>
          <w:highlight w:val="none"/>
        </w:rPr>
        <w:t>；</w:t>
      </w:r>
    </w:p>
    <w:p w14:paraId="17321AA9">
      <w:pPr>
        <w:jc w:val="both"/>
        <w:rPr>
          <w:rFonts w:ascii="Times New Roman" w:hAnsi="Times New Roman" w:eastAsia="宋体"/>
          <w:sz w:val="20"/>
          <w:szCs w:val="20"/>
          <w:highlight w:val="none"/>
        </w:rPr>
      </w:pPr>
      <w:r>
        <w:rPr>
          <w:rFonts w:ascii="Times New Roman" w:hAnsi="Times New Roman" w:eastAsia="宋体"/>
          <w:b/>
          <w:bCs/>
          <w:sz w:val="20"/>
          <w:szCs w:val="20"/>
          <w:highlight w:val="none"/>
        </w:rPr>
        <w:t>消化时间</w:t>
      </w:r>
      <w:r>
        <w:rPr>
          <w:rFonts w:ascii="Times New Roman" w:hAnsi="Times New Roman" w:eastAsia="宋体"/>
          <w:sz w:val="20"/>
          <w:szCs w:val="20"/>
          <w:highlight w:val="none"/>
        </w:rPr>
        <w:t>：不同品牌胰酶消化时间不同，需注意控制</w:t>
      </w:r>
    </w:p>
    <w:p w14:paraId="783591BE">
      <w:pPr>
        <w:jc w:val="both"/>
        <w:rPr>
          <w:rFonts w:ascii="Times New Roman" w:hAnsi="Times New Roman" w:eastAsia="宋体"/>
          <w:sz w:val="20"/>
          <w:szCs w:val="20"/>
          <w:highlight w:val="none"/>
        </w:rPr>
      </w:pPr>
      <w:r>
        <w:rPr>
          <w:rFonts w:ascii="Times New Roman" w:hAnsi="Times New Roman" w:eastAsia="宋体"/>
          <w:b/>
          <w:bCs/>
          <w:sz w:val="20"/>
          <w:szCs w:val="20"/>
          <w:highlight w:val="none"/>
        </w:rPr>
        <w:t>传代比例</w:t>
      </w:r>
      <w:r>
        <w:rPr>
          <w:rFonts w:ascii="Times New Roman" w:hAnsi="Times New Roman" w:eastAsia="宋体"/>
          <w:sz w:val="20"/>
          <w:szCs w:val="20"/>
          <w:highlight w:val="none"/>
        </w:rPr>
        <w:t>：1:2-1:4（具体根据细胞生长速度及密度调整）</w:t>
      </w:r>
    </w:p>
    <w:p w14:paraId="3A2529C0">
      <w:pPr>
        <w:jc w:val="both"/>
        <w:rPr>
          <w:rFonts w:ascii="Times New Roman" w:hAnsi="Times New Roman" w:eastAsia="宋体"/>
          <w:sz w:val="20"/>
          <w:szCs w:val="20"/>
          <w:highlight w:val="none"/>
        </w:rPr>
      </w:pPr>
      <w:r>
        <w:rPr>
          <w:rFonts w:ascii="Times New Roman" w:hAnsi="Times New Roman" w:eastAsia="宋体"/>
          <w:b/>
          <w:bCs/>
          <w:sz w:val="20"/>
          <w:szCs w:val="20"/>
          <w:highlight w:val="none"/>
        </w:rPr>
        <w:t>换液频次</w:t>
      </w:r>
      <w:r>
        <w:rPr>
          <w:rFonts w:ascii="Times New Roman" w:hAnsi="Times New Roman" w:eastAsia="宋体"/>
          <w:sz w:val="20"/>
          <w:szCs w:val="20"/>
          <w:highlight w:val="none"/>
        </w:rPr>
        <w:t>：</w:t>
      </w:r>
      <w:r>
        <w:rPr>
          <w:rFonts w:hint="eastAsia" w:ascii="Times New Roman" w:hAnsi="Times New Roman" w:eastAsia="宋体"/>
          <w:sz w:val="20"/>
          <w:szCs w:val="20"/>
          <w:highlight w:val="none"/>
        </w:rPr>
        <w:t>2-3</w:t>
      </w:r>
      <w:r>
        <w:rPr>
          <w:rFonts w:ascii="Times New Roman" w:hAnsi="Times New Roman" w:eastAsia="宋体"/>
          <w:sz w:val="20"/>
          <w:szCs w:val="20"/>
          <w:highlight w:val="none"/>
        </w:rPr>
        <w:t>天</w:t>
      </w:r>
    </w:p>
    <w:p w14:paraId="3EBF6AD0">
      <w:pPr>
        <w:adjustRightInd w:val="0"/>
        <w:snapToGrid w:val="0"/>
        <w:spacing w:line="300" w:lineRule="auto"/>
        <w:jc w:val="both"/>
        <w:rPr>
          <w:rFonts w:ascii="Times New Roman" w:hAnsi="Times New Roman" w:eastAsia="宋体"/>
          <w:highlight w:val="none"/>
        </w:rPr>
      </w:pPr>
    </w:p>
    <w:p w14:paraId="0746E80B">
      <w:pPr>
        <w:adjustRightInd w:val="0"/>
        <w:snapToGrid w:val="0"/>
        <w:spacing w:before="156" w:beforeLines="50" w:after="156" w:afterLines="50" w:line="240" w:lineRule="auto"/>
        <w:rPr>
          <w:rFonts w:hint="eastAsia" w:ascii="黑体" w:hAnsi="黑体" w:eastAsia="黑体"/>
          <w:sz w:val="28"/>
          <w:szCs w:val="28"/>
          <w:highlight w:val="none"/>
        </w:rPr>
      </w:pPr>
      <w:bookmarkStart w:id="2" w:name="OLE_LINK2"/>
      <w:r>
        <w:rPr>
          <w:rFonts w:hint="eastAsia" w:ascii="黑体" w:hAnsi="黑体" w:eastAsia="黑体"/>
          <w:sz w:val="28"/>
          <w:szCs w:val="28"/>
          <w:highlight w:val="none"/>
        </w:rPr>
        <w:t>六、</w:t>
      </w:r>
      <w:r>
        <w:rPr>
          <w:rFonts w:ascii="黑体" w:hAnsi="黑体" w:eastAsia="黑体"/>
          <w:sz w:val="28"/>
          <w:szCs w:val="28"/>
          <w:highlight w:val="none"/>
        </w:rPr>
        <w:t>细胞售后条例</w:t>
      </w:r>
    </w:p>
    <w:bookmarkEnd w:id="2"/>
    <w:p w14:paraId="4640B0FB">
      <w:pPr>
        <w:rPr>
          <w:rFonts w:ascii="Times New Roman" w:hAnsi="Times New Roman" w:eastAsia="宋体"/>
          <w:sz w:val="20"/>
          <w:szCs w:val="20"/>
          <w:highlight w:val="none"/>
        </w:rPr>
      </w:pPr>
      <w:r>
        <w:rPr>
          <w:rFonts w:hint="eastAsia" w:ascii="Times New Roman" w:hAnsi="Times New Roman" w:eastAsia="宋体"/>
          <w:sz w:val="20"/>
          <w:szCs w:val="20"/>
          <w:highlight w:val="none"/>
        </w:rPr>
        <w:t>1、购买的冻存细胞发2管，先复苏第一管，再视情况复苏第二管；</w:t>
      </w:r>
    </w:p>
    <w:p w14:paraId="3AD275DC">
      <w:pPr>
        <w:rPr>
          <w:rFonts w:ascii="Times New Roman" w:hAnsi="Times New Roman" w:eastAsia="宋体"/>
          <w:sz w:val="20"/>
          <w:szCs w:val="20"/>
          <w:highlight w:val="none"/>
        </w:rPr>
      </w:pPr>
      <w:r>
        <w:rPr>
          <w:rFonts w:hint="eastAsia" w:ascii="Times New Roman" w:hAnsi="Times New Roman" w:eastAsia="宋体"/>
          <w:sz w:val="20"/>
          <w:szCs w:val="20"/>
          <w:highlight w:val="none"/>
        </w:rPr>
        <w:t>2、复苏第一管出现问题，联系我方分析原因并指导复苏第二管；在技术支持下仍无法存活的，可重发常温细胞；重发冻存细胞需加收干冰费用（需及时拍照反馈）；</w:t>
      </w:r>
    </w:p>
    <w:p w14:paraId="3700493F">
      <w:pPr>
        <w:rPr>
          <w:rFonts w:ascii="Times New Roman" w:hAnsi="Times New Roman" w:eastAsia="宋体"/>
          <w:sz w:val="20"/>
          <w:szCs w:val="20"/>
          <w:highlight w:val="none"/>
        </w:rPr>
      </w:pPr>
      <w:r>
        <w:rPr>
          <w:rFonts w:hint="eastAsia" w:ascii="Times New Roman" w:hAnsi="Times New Roman" w:eastAsia="宋体"/>
          <w:sz w:val="20"/>
          <w:szCs w:val="20"/>
          <w:highlight w:val="none"/>
        </w:rPr>
        <w:t>3、冻存细胞发货2支为同一批次，一管复苏成功另一管失败的，不予重发；</w:t>
      </w:r>
    </w:p>
    <w:p w14:paraId="2106C4F0">
      <w:pPr>
        <w:rPr>
          <w:rFonts w:ascii="Times New Roman" w:hAnsi="Times New Roman" w:eastAsia="宋体"/>
          <w:sz w:val="20"/>
          <w:szCs w:val="20"/>
          <w:highlight w:val="none"/>
        </w:rPr>
      </w:pPr>
      <w:r>
        <w:rPr>
          <w:rFonts w:hint="eastAsia" w:ascii="Times New Roman" w:hAnsi="Times New Roman" w:eastAsia="宋体"/>
          <w:sz w:val="20"/>
          <w:szCs w:val="20"/>
          <w:highlight w:val="none"/>
        </w:rPr>
        <w:t>4、收到冻存细胞复苏后状态良好，但因用户自身操作导致细胞污染、状态不佳、冻存后复苏失败的，不予免费重发；</w:t>
      </w:r>
    </w:p>
    <w:p w14:paraId="1BBDF6DE">
      <w:pPr>
        <w:rPr>
          <w:rFonts w:ascii="Times New Roman" w:hAnsi="Times New Roman" w:eastAsia="宋体"/>
          <w:sz w:val="20"/>
          <w:szCs w:val="20"/>
          <w:highlight w:val="none"/>
        </w:rPr>
      </w:pPr>
      <w:r>
        <w:rPr>
          <w:rFonts w:hint="eastAsia" w:ascii="Times New Roman" w:hAnsi="Times New Roman" w:eastAsia="宋体"/>
          <w:sz w:val="20"/>
          <w:szCs w:val="20"/>
          <w:highlight w:val="none"/>
        </w:rPr>
        <w:t>5、细胞运输途中出现冻存管破损、融化等问题，予以重发（需及时拍照反馈）；</w:t>
      </w:r>
    </w:p>
    <w:p w14:paraId="61B467A8">
      <w:pPr>
        <w:rPr>
          <w:rFonts w:ascii="Times New Roman" w:hAnsi="Times New Roman" w:eastAsia="宋体"/>
          <w:sz w:val="20"/>
          <w:szCs w:val="20"/>
          <w:highlight w:val="none"/>
        </w:rPr>
      </w:pPr>
      <w:r>
        <w:rPr>
          <w:rFonts w:hint="eastAsia" w:ascii="Times New Roman" w:hAnsi="Times New Roman" w:eastAsia="宋体"/>
          <w:sz w:val="20"/>
          <w:szCs w:val="20"/>
          <w:highlight w:val="none"/>
        </w:rPr>
        <w:t>6、因外源试剂导致细胞培养出现问题或污染的，不予重发；</w:t>
      </w:r>
    </w:p>
    <w:p w14:paraId="60F97D08">
      <w:pPr>
        <w:rPr>
          <w:rFonts w:ascii="Times New Roman" w:hAnsi="Times New Roman" w:eastAsia="宋体"/>
          <w:sz w:val="20"/>
          <w:szCs w:val="20"/>
          <w:highlight w:val="none"/>
        </w:rPr>
      </w:pPr>
      <w:r>
        <w:rPr>
          <w:rFonts w:hint="eastAsia" w:ascii="Times New Roman" w:hAnsi="Times New Roman" w:eastAsia="宋体"/>
          <w:sz w:val="20"/>
          <w:szCs w:val="20"/>
          <w:highlight w:val="none"/>
        </w:rPr>
        <w:t>7、细胞复苏和培养过程中出现问题，反馈不及时（默认收到细胞后一周内无反馈）且无法提供复苏后状态图片的，不予免费重发；</w:t>
      </w:r>
    </w:p>
    <w:p w14:paraId="5E3E966A">
      <w:pPr>
        <w:rPr>
          <w:rFonts w:ascii="Times New Roman" w:hAnsi="Times New Roman" w:eastAsia="宋体"/>
          <w:sz w:val="20"/>
          <w:szCs w:val="20"/>
          <w:highlight w:val="none"/>
        </w:rPr>
      </w:pPr>
      <w:r>
        <w:rPr>
          <w:rFonts w:hint="eastAsia" w:ascii="Times New Roman" w:hAnsi="Times New Roman" w:eastAsia="宋体"/>
          <w:sz w:val="20"/>
          <w:szCs w:val="20"/>
          <w:highlight w:val="none"/>
        </w:rPr>
        <w:t>8、非细胞出厂质量问题，因客户自身操作导致细胞死亡的，自收货日起一个月内可申请低价二次购买折扣（原代细胞除外）；</w:t>
      </w:r>
    </w:p>
    <w:p w14:paraId="221D39AD">
      <w:pPr>
        <w:rPr>
          <w:rFonts w:ascii="Times New Roman" w:hAnsi="Times New Roman" w:eastAsia="宋体"/>
          <w:sz w:val="20"/>
          <w:szCs w:val="20"/>
          <w:highlight w:val="none"/>
        </w:rPr>
      </w:pPr>
      <w:r>
        <w:rPr>
          <w:rFonts w:hint="eastAsia" w:ascii="Times New Roman" w:hAnsi="Times New Roman" w:eastAsia="宋体"/>
          <w:sz w:val="20"/>
          <w:szCs w:val="20"/>
          <w:highlight w:val="none"/>
        </w:rPr>
        <w:t>9、细胞相关实验受培养基及血清品牌、操作习惯、培养瓶品牌等多种因素影响，因非细胞鉴定问题导致实验数据不理想的，不予退换细胞；</w:t>
      </w:r>
    </w:p>
    <w:p w14:paraId="563A5B2B">
      <w:pPr>
        <w:rPr>
          <w:rFonts w:ascii="Times New Roman" w:hAnsi="Times New Roman" w:eastAsia="宋体"/>
          <w:sz w:val="20"/>
          <w:szCs w:val="20"/>
          <w:highlight w:val="none"/>
        </w:rPr>
      </w:pPr>
      <w:r>
        <w:rPr>
          <w:rFonts w:hint="eastAsia" w:ascii="Times New Roman" w:hAnsi="Times New Roman" w:eastAsia="宋体"/>
          <w:sz w:val="20"/>
          <w:szCs w:val="20"/>
          <w:highlight w:val="none"/>
        </w:rPr>
        <w:t>10、细胞系与对应专用培养基一起购买的，自收货日起一个月内可享受无条件售后（原代细胞不参与）；</w:t>
      </w:r>
    </w:p>
    <w:p w14:paraId="17C858BD">
      <w:pPr>
        <w:rPr>
          <w:rFonts w:hint="eastAsia"/>
          <w:sz w:val="20"/>
          <w:szCs w:val="20"/>
          <w:highlight w:val="none"/>
        </w:rPr>
      </w:pPr>
      <w:r>
        <w:rPr>
          <w:rFonts w:hint="eastAsia" w:ascii="Times New Roman" w:hAnsi="Times New Roman" w:eastAsia="宋体"/>
          <w:sz w:val="20"/>
          <w:szCs w:val="20"/>
          <w:highlight w:val="none"/>
        </w:rPr>
        <w:t>11、请保留细胞/培养基标签上的二维码，需售后或技术支持时可扫描相关二维码与我司联系。</w:t>
      </w:r>
    </w:p>
    <w:p w14:paraId="16687591">
      <w:pPr>
        <w:rPr>
          <w:rFonts w:hint="eastAsia"/>
          <w:highlight w:val="none"/>
        </w:rPr>
      </w:pPr>
    </w:p>
    <w:p w14:paraId="5828D42B">
      <w:pPr>
        <w:adjustRightInd w:val="0"/>
        <w:snapToGrid w:val="0"/>
        <w:spacing w:before="156" w:beforeLines="50" w:after="156" w:afterLines="50" w:line="240" w:lineRule="auto"/>
        <w:rPr>
          <w:rFonts w:hint="eastAsia" w:ascii="黑体" w:hAnsi="黑体" w:eastAsia="黑体"/>
          <w:sz w:val="28"/>
          <w:szCs w:val="28"/>
          <w:highlight w:val="none"/>
        </w:rPr>
      </w:pPr>
      <w:r>
        <w:rPr>
          <w:rFonts w:hint="eastAsia" w:ascii="黑体" w:hAnsi="黑体" w:eastAsia="黑体"/>
          <w:sz w:val="28"/>
          <w:szCs w:val="28"/>
          <w:highlight w:val="none"/>
        </w:rPr>
        <w:t>七、参考文献</w:t>
      </w:r>
      <w:bookmarkStart w:id="3" w:name="_GoBack"/>
      <w:bookmarkEnd w:id="3"/>
    </w:p>
    <w:p w14:paraId="7C011583">
      <w:pPr>
        <w:rPr>
          <w:rFonts w:hint="eastAsia"/>
          <w:highlight w:val="none"/>
        </w:rPr>
      </w:pPr>
      <w:r>
        <w:rPr>
          <w:rFonts w:hint="eastAsia"/>
          <w:highlight w:val="none"/>
        </w:rPr>
        <w:t>1. Savoca A, Zindel D, Polanski R, et al. Preclinical to Clinical Translation of Pharmacokinetic-Pharmacodynamic Relationship in EGFR Exon20Ins Mutations: A Modeling Framework for Irreversible Inhibitors. Mol Cancer Ther. 2026;25(7):1157-1167. doi:10.1158/1535-7163.MCT-25-0082</w:t>
      </w:r>
    </w:p>
    <w:p w14:paraId="50A32E09">
      <w:pPr>
        <w:rPr>
          <w:rFonts w:hint="eastAsia"/>
        </w:rPr>
      </w:pPr>
      <w:r>
        <w:rPr>
          <w:rFonts w:hint="eastAsia"/>
          <w:highlight w:val="none"/>
        </w:rPr>
        <w:drawing>
          <wp:inline distT="0" distB="0" distL="0" distR="0">
            <wp:extent cx="1358265" cy="1349375"/>
            <wp:effectExtent l="0" t="0" r="0" b="3175"/>
            <wp:docPr id="19980810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81070"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64988" cy="1356160"/>
                    </a:xfrm>
                    <a:prstGeom prst="rect">
                      <a:avLst/>
                    </a:prstGeom>
                    <a:noFill/>
                  </pic:spPr>
                </pic:pic>
              </a:graphicData>
            </a:graphic>
          </wp:inline>
        </w:drawing>
      </w:r>
    </w:p>
    <w:p w14:paraId="51D72D2E">
      <w:pPr>
        <w:rPr>
          <w:rFonts w:hint="eastAsia"/>
          <w:sz w:val="18"/>
          <w:szCs w:val="18"/>
        </w:rPr>
      </w:pPr>
      <w:r>
        <w:rPr>
          <w:rFonts w:hint="eastAsia"/>
          <w:sz w:val="18"/>
          <w:szCs w:val="18"/>
        </w:rPr>
        <w:t>公众号获取更多资讯</w:t>
      </w:r>
    </w:p>
    <w:p w14:paraId="46ED1A9F">
      <w:pPr>
        <w:rPr>
          <w:rFonts w:hint="eastAsia"/>
          <w:sz w:val="18"/>
          <w:szCs w:val="18"/>
        </w:rPr>
      </w:pPr>
      <w:r>
        <w:rPr>
          <w:rFonts w:hint="eastAsia"/>
          <w:sz w:val="18"/>
          <w:szCs w:val="18"/>
        </w:rPr>
        <w:t>公司电话：</w:t>
      </w:r>
      <w:r>
        <w:rPr>
          <w:sz w:val="18"/>
          <w:szCs w:val="18"/>
        </w:rPr>
        <w:t>13267055948</w:t>
      </w:r>
      <w:r>
        <w:rPr>
          <w:sz w:val="18"/>
          <w:szCs w:val="18"/>
        </w:rPr>
        <w:br w:type="textWrapping"/>
      </w:r>
      <w:r>
        <w:rPr>
          <w:rFonts w:hint="eastAsia"/>
          <w:sz w:val="18"/>
          <w:szCs w:val="18"/>
        </w:rPr>
        <w:t>联系</w:t>
      </w:r>
      <w:r>
        <w:rPr>
          <w:sz w:val="18"/>
          <w:szCs w:val="18"/>
        </w:rPr>
        <w:t>QQ</w:t>
      </w:r>
      <w:r>
        <w:rPr>
          <w:rFonts w:hint="eastAsia"/>
          <w:sz w:val="18"/>
          <w:szCs w:val="18"/>
        </w:rPr>
        <w:t>：</w:t>
      </w:r>
      <w:r>
        <w:rPr>
          <w:sz w:val="18"/>
          <w:szCs w:val="18"/>
        </w:rPr>
        <w:t>2782468779</w:t>
      </w:r>
      <w:r>
        <w:rPr>
          <w:sz w:val="18"/>
          <w:szCs w:val="18"/>
        </w:rPr>
        <w:br w:type="textWrapping"/>
      </w:r>
      <w:r>
        <w:rPr>
          <w:rFonts w:hint="eastAsia"/>
          <w:sz w:val="18"/>
          <w:szCs w:val="18"/>
        </w:rPr>
        <w:t>电子邮箱：info@genecarer.com</w:t>
      </w:r>
    </w:p>
    <w:p w14:paraId="11232898">
      <w:pPr>
        <w:rPr>
          <w:rFonts w:hint="eastAsia"/>
          <w:sz w:val="18"/>
          <w:szCs w:val="18"/>
        </w:rPr>
      </w:pPr>
      <w:r>
        <w:rPr>
          <w:rFonts w:hint="eastAsia"/>
          <w:sz w:val="18"/>
          <w:szCs w:val="18"/>
        </w:rPr>
        <w:t>公司官网：</w:t>
      </w:r>
      <w:r>
        <w:fldChar w:fldCharType="begin"/>
      </w:r>
      <w:r>
        <w:instrText xml:space="preserve"> HYPERLINK "https://www.genecarersz.com/" </w:instrText>
      </w:r>
      <w:r>
        <w:fldChar w:fldCharType="separate"/>
      </w:r>
      <w:r>
        <w:rPr>
          <w:rStyle w:val="20"/>
          <w:sz w:val="18"/>
          <w:szCs w:val="18"/>
        </w:rPr>
        <w:t>https://www.genecarersz.com/</w:t>
      </w:r>
      <w:r>
        <w:rPr>
          <w:rStyle w:val="20"/>
          <w:sz w:val="18"/>
          <w:szCs w:val="18"/>
        </w:rPr>
        <w:fldChar w:fldCharType="end"/>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AF141">
    <w:pPr>
      <w:widowControl/>
      <w:kinsoku w:val="0"/>
      <w:autoSpaceDE w:val="0"/>
      <w:autoSpaceDN w:val="0"/>
      <w:adjustRightInd w:val="0"/>
      <w:snapToGrid w:val="0"/>
      <w:spacing w:before="78" w:after="0" w:line="230" w:lineRule="auto"/>
      <w:ind w:left="16"/>
      <w:jc w:val="center"/>
      <w:textAlignment w:val="baseline"/>
      <w:rPr>
        <w:rFonts w:hint="eastAsia" w:ascii="微软雅黑" w:hAnsi="微软雅黑" w:eastAsia="微软雅黑" w:cs="微软雅黑"/>
        <w:snapToGrid w:val="0"/>
        <w:color w:val="2E75B5"/>
        <w:spacing w:val="-1"/>
        <w:kern w:val="0"/>
        <w:sz w:val="18"/>
        <w:szCs w:val="18"/>
        <w:u w:val="single"/>
        <w14:ligatures w14:val="none"/>
      </w:rPr>
    </w:pPr>
    <w:r>
      <w:rPr>
        <w:rFonts w:hint="eastAsia" w:ascii="微软雅黑" w:hAnsi="微软雅黑" w:eastAsia="微软雅黑" w:cs="微软雅黑"/>
        <w:snapToGrid w:val="0"/>
        <w:color w:val="2E75B5"/>
        <w:spacing w:val="-1"/>
        <w:kern w:val="0"/>
        <w:sz w:val="18"/>
        <w:szCs w:val="18"/>
        <w:u w:val="single"/>
        <w14:ligatures w14:val="none"/>
      </w:rPr>
      <w:t>基</w:t>
    </w:r>
    <w:r>
      <w:rPr>
        <w:rFonts w:ascii="微软雅黑" w:hAnsi="微软雅黑" w:eastAsia="微软雅黑" w:cs="微软雅黑"/>
        <w:snapToGrid w:val="0"/>
        <w:color w:val="2E75B5"/>
        <w:spacing w:val="-1"/>
        <w:kern w:val="0"/>
        <w:sz w:val="18"/>
        <w:szCs w:val="18"/>
        <w:u w:val="single"/>
        <w14:ligatures w14:val="none"/>
      </w:rPr>
      <w:t>因修饰细胞（敲除、敲入、点突变）</w:t>
    </w:r>
    <w:r>
      <w:rPr>
        <w:rFonts w:hint="eastAsia" w:ascii="微软雅黑" w:hAnsi="微软雅黑" w:eastAsia="微软雅黑" w:cs="微软雅黑"/>
        <w:snapToGrid w:val="0"/>
        <w:color w:val="2E75B5"/>
        <w:spacing w:val="-1"/>
        <w:kern w:val="0"/>
        <w:sz w:val="18"/>
        <w:szCs w:val="18"/>
        <w:u w:val="single"/>
        <w14:ligatures w14:val="none"/>
      </w:rPr>
      <w:t xml:space="preserve"> </w:t>
    </w:r>
    <w:r>
      <w:rPr>
        <w:rFonts w:ascii="微软雅黑" w:hAnsi="微软雅黑" w:eastAsia="微软雅黑" w:cs="微软雅黑"/>
        <w:snapToGrid w:val="0"/>
        <w:color w:val="2E75B5"/>
        <w:kern w:val="0"/>
        <w:sz w:val="18"/>
        <w:szCs w:val="18"/>
        <w:u w:val="single"/>
        <w14:ligatures w14:val="none"/>
      </w:rPr>
      <w:t>基础实验服务（动物实验、载体构建</w:t>
    </w:r>
    <w:r>
      <w:rPr>
        <w:rFonts w:hint="eastAsia" w:ascii="微软雅黑" w:hAnsi="微软雅黑" w:eastAsia="微软雅黑" w:cs="微软雅黑"/>
        <w:snapToGrid w:val="0"/>
        <w:color w:val="2E75B5"/>
        <w:kern w:val="0"/>
        <w:sz w:val="18"/>
        <w:szCs w:val="18"/>
        <w:u w:val="single"/>
        <w14:ligatures w14:val="none"/>
      </w:rPr>
      <w:t>）</w:t>
    </w:r>
  </w:p>
  <w:p w14:paraId="0DA63B75">
    <w:pPr>
      <w:widowControl/>
      <w:kinsoku w:val="0"/>
      <w:autoSpaceDE w:val="0"/>
      <w:autoSpaceDN w:val="0"/>
      <w:adjustRightInd w:val="0"/>
      <w:snapToGrid w:val="0"/>
      <w:spacing w:before="78" w:after="0" w:line="230" w:lineRule="auto"/>
      <w:ind w:left="16"/>
      <w:jc w:val="center"/>
      <w:textAlignment w:val="baseline"/>
      <w:rPr>
        <w:rFonts w:hint="eastAsia" w:ascii="微软雅黑" w:hAnsi="微软雅黑" w:eastAsia="微软雅黑" w:cs="微软雅黑"/>
        <w:snapToGrid w:val="0"/>
        <w:color w:val="2E75B5"/>
        <w:kern w:val="0"/>
        <w:sz w:val="18"/>
        <w:szCs w:val="18"/>
        <w14:ligatures w14:val="none"/>
      </w:rPr>
    </w:pPr>
    <w:r>
      <w:rPr>
        <w:rFonts w:ascii="微软雅黑" w:hAnsi="微软雅黑" w:eastAsia="微软雅黑" w:cs="微软雅黑"/>
        <w:snapToGrid w:val="0"/>
        <w:color w:val="2E75B5"/>
        <w:spacing w:val="-1"/>
        <w:kern w:val="0"/>
        <w:sz w:val="18"/>
        <w:szCs w:val="18"/>
        <w:u w:val="single"/>
        <w14:ligatures w14:val="none"/>
      </w:rPr>
      <w:t>病毒包装（慢病毒</w:t>
    </w:r>
    <w:r>
      <w:rPr>
        <w:rFonts w:ascii="微软雅黑" w:hAnsi="微软雅黑" w:eastAsia="微软雅黑" w:cs="微软雅黑"/>
        <w:snapToGrid w:val="0"/>
        <w:color w:val="2E75B5"/>
        <w:spacing w:val="-2"/>
        <w:kern w:val="0"/>
        <w:sz w:val="18"/>
        <w:szCs w:val="18"/>
        <w:u w:val="single"/>
        <w14:ligatures w14:val="none"/>
      </w:rPr>
      <w:t>、非整合慢病毒、腺病毒、腺相关病毒</w:t>
    </w:r>
    <w:r>
      <w:rPr>
        <w:rFonts w:hint="eastAsia" w:ascii="微软雅黑" w:hAnsi="微软雅黑" w:eastAsia="微软雅黑" w:cs="微软雅黑"/>
        <w:snapToGrid w:val="0"/>
        <w:color w:val="2E75B5"/>
        <w:spacing w:val="-2"/>
        <w:kern w:val="0"/>
        <w:sz w:val="18"/>
        <w:szCs w:val="18"/>
        <w:u w:val="single"/>
        <w14:ligatures w14:val="none"/>
      </w:rPr>
      <w:t>、病毒样颗粒蛋白、脂质体纳米颗粒</w:t>
    </w:r>
    <w:r>
      <w:rPr>
        <w:rFonts w:ascii="微软雅黑" w:hAnsi="微软雅黑" w:eastAsia="微软雅黑" w:cs="微软雅黑"/>
        <w:snapToGrid w:val="0"/>
        <w:color w:val="2E75B5"/>
        <w:spacing w:val="-2"/>
        <w:kern w:val="0"/>
        <w:sz w:val="18"/>
        <w:szCs w:val="18"/>
        <w:u w:val="single"/>
        <w14:ligatures w14:val="none"/>
      </w:rPr>
      <w:t>）</w:t>
    </w:r>
    <w:r>
      <w:rPr>
        <w:rFonts w:ascii="微软雅黑" w:hAnsi="微软雅黑" w:eastAsia="微软雅黑" w:cs="微软雅黑"/>
        <w:snapToGrid w:val="0"/>
        <w:color w:val="2E75B5"/>
        <w:kern w:val="0"/>
        <w:sz w:val="18"/>
        <w:szCs w:val="18"/>
        <w14:ligatures w14:val="none"/>
      </w:rPr>
      <w:t xml:space="preserve"> </w:t>
    </w:r>
    <w:r>
      <w:rPr>
        <w:rFonts w:hint="eastAsia" w:ascii="微软雅黑" w:hAnsi="微软雅黑" w:eastAsia="微软雅黑" w:cs="微软雅黑"/>
        <w:snapToGrid w:val="0"/>
        <w:color w:val="2E75B5"/>
        <w:kern w:val="0"/>
        <w:sz w:val="18"/>
        <w:szCs w:val="18"/>
        <w14:ligatures w14:val="none"/>
      </w:rPr>
      <w:t xml:space="preserve">                               </w:t>
    </w:r>
  </w:p>
  <w:p w14:paraId="3D43C043">
    <w:pPr>
      <w:widowControl/>
      <w:kinsoku w:val="0"/>
      <w:autoSpaceDE w:val="0"/>
      <w:autoSpaceDN w:val="0"/>
      <w:adjustRightInd w:val="0"/>
      <w:snapToGrid w:val="0"/>
      <w:spacing w:before="78" w:after="0" w:line="230" w:lineRule="auto"/>
      <w:ind w:left="16"/>
      <w:jc w:val="center"/>
      <w:textAlignment w:val="baseline"/>
      <w:rPr>
        <w:rFonts w:ascii="Arial" w:hAnsi="Arial" w:eastAsia="Arial" w:cs="Arial"/>
        <w:snapToGrid w:val="0"/>
        <w:color w:val="000000"/>
        <w:kern w:val="0"/>
        <w:sz w:val="21"/>
        <w:szCs w:val="21"/>
        <w14:ligatures w14:val="none"/>
      </w:rPr>
    </w:pPr>
    <w:r>
      <w:rPr>
        <w:rFonts w:hint="eastAsia" w:ascii="微软雅黑" w:hAnsi="微软雅黑" w:eastAsia="微软雅黑" w:cs="微软雅黑"/>
        <w:snapToGrid w:val="0"/>
        <w:color w:val="2E75B5"/>
        <w:kern w:val="0"/>
        <w:sz w:val="18"/>
        <w:szCs w:val="18"/>
        <w:u w:val="single"/>
        <w14:ligatures w14:val="none"/>
      </w:rPr>
      <w:t>试剂</w:t>
    </w:r>
    <w:r>
      <w:rPr>
        <w:rFonts w:ascii="微软雅黑" w:hAnsi="微软雅黑" w:eastAsia="微软雅黑" w:cs="微软雅黑"/>
        <w:snapToGrid w:val="0"/>
        <w:color w:val="2E75B5"/>
        <w:kern w:val="0"/>
        <w:sz w:val="18"/>
        <w:szCs w:val="18"/>
        <w:u w:val="single"/>
        <w14:ligatures w14:val="none"/>
      </w:rPr>
      <w:t>（</w:t>
    </w:r>
    <w:r>
      <w:rPr>
        <w:rFonts w:hint="eastAsia" w:ascii="微软雅黑" w:hAnsi="微软雅黑" w:eastAsia="微软雅黑" w:cs="微软雅黑"/>
        <w:snapToGrid w:val="0"/>
        <w:color w:val="2E75B5"/>
        <w:kern w:val="0"/>
        <w:sz w:val="18"/>
        <w:szCs w:val="18"/>
        <w:u w:val="single"/>
        <w14:ligatures w14:val="none"/>
      </w:rPr>
      <w:t>常规试剂</w:t>
    </w:r>
    <w:r>
      <w:rPr>
        <w:rFonts w:ascii="微软雅黑" w:hAnsi="微软雅黑" w:eastAsia="微软雅黑" w:cs="微软雅黑"/>
        <w:snapToGrid w:val="0"/>
        <w:color w:val="2E75B5"/>
        <w:kern w:val="0"/>
        <w:sz w:val="18"/>
        <w:szCs w:val="18"/>
        <w:u w:val="single"/>
        <w14:ligatures w14:val="none"/>
      </w:rPr>
      <w:t>、</w:t>
    </w:r>
    <w:r>
      <w:rPr>
        <w:rFonts w:hint="eastAsia" w:ascii="微软雅黑" w:hAnsi="微软雅黑" w:eastAsia="微软雅黑" w:cs="微软雅黑"/>
        <w:snapToGrid w:val="0"/>
        <w:color w:val="2E75B5"/>
        <w:kern w:val="0"/>
        <w:sz w:val="18"/>
        <w:szCs w:val="18"/>
        <w:u w:val="single"/>
        <w14:ligatures w14:val="none"/>
      </w:rPr>
      <w:t>感受态、基因敲除敲入点突变试剂盒、滴度检测试剂盒</w:t>
    </w:r>
    <w:r>
      <w:rPr>
        <w:rFonts w:ascii="微软雅黑" w:hAnsi="微软雅黑" w:eastAsia="微软雅黑" w:cs="微软雅黑"/>
        <w:snapToGrid w:val="0"/>
        <w:color w:val="2E75B5"/>
        <w:spacing w:val="-1"/>
        <w:kern w:val="0"/>
        <w:sz w:val="18"/>
        <w:szCs w:val="18"/>
        <w:u w:val="single"/>
        <w14:ligatures w14:val="none"/>
      </w:rPr>
      <w:t>）</w:t>
    </w:r>
  </w:p>
  <w:p w14:paraId="6B338C20">
    <w:pPr>
      <w:pStyle w:val="12"/>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2293B">
    <w:pPr>
      <w:pStyle w:val="13"/>
      <w:rPr>
        <w:rFonts w:hint="eastAsia"/>
      </w:rPr>
    </w:pPr>
    <w:r>
      <w:drawing>
        <wp:inline distT="0" distB="0" distL="114300" distR="114300">
          <wp:extent cx="4179570" cy="325120"/>
          <wp:effectExtent l="0" t="0" r="0" b="0"/>
          <wp:docPr id="10997719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771929" name="图片 11"/>
                  <pic:cNvPicPr>
                    <a:picLocks noChangeAspect="1"/>
                  </pic:cNvPicPr>
                </pic:nvPicPr>
                <pic:blipFill>
                  <a:blip r:embed="rId1"/>
                  <a:stretch>
                    <a:fillRect/>
                  </a:stretch>
                </pic:blipFill>
                <pic:spPr>
                  <a:xfrm>
                    <a:off x="0" y="0"/>
                    <a:ext cx="4363890" cy="33941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_MEDREF_DOCUID" w:val="{BC4B125B-295E-4C7F-9E84-F8266F890492}"/>
    <w:docVar w:name="KY_MEDREF_VERSION" w:val="3"/>
  </w:docVars>
  <w:rsids>
    <w:rsidRoot w:val="00806D66"/>
    <w:rsid w:val="000202A6"/>
    <w:rsid w:val="000D7DD3"/>
    <w:rsid w:val="001B16AE"/>
    <w:rsid w:val="0023604F"/>
    <w:rsid w:val="002709CD"/>
    <w:rsid w:val="002F202F"/>
    <w:rsid w:val="003114ED"/>
    <w:rsid w:val="00353C88"/>
    <w:rsid w:val="00372C9C"/>
    <w:rsid w:val="00390A96"/>
    <w:rsid w:val="00525D05"/>
    <w:rsid w:val="00545553"/>
    <w:rsid w:val="00633538"/>
    <w:rsid w:val="007328DD"/>
    <w:rsid w:val="00796D08"/>
    <w:rsid w:val="00806D66"/>
    <w:rsid w:val="00971976"/>
    <w:rsid w:val="009B7C5A"/>
    <w:rsid w:val="009F79F2"/>
    <w:rsid w:val="00A0347A"/>
    <w:rsid w:val="00A30C6C"/>
    <w:rsid w:val="00AC39F1"/>
    <w:rsid w:val="00B55403"/>
    <w:rsid w:val="00BD3416"/>
    <w:rsid w:val="00CC7654"/>
    <w:rsid w:val="00CE17B2"/>
    <w:rsid w:val="00CF41D5"/>
    <w:rsid w:val="00D96F3D"/>
    <w:rsid w:val="00DA3E2F"/>
    <w:rsid w:val="00E447F2"/>
    <w:rsid w:val="00EC18B2"/>
    <w:rsid w:val="00ED322B"/>
    <w:rsid w:val="00F82E3D"/>
    <w:rsid w:val="00FA257E"/>
    <w:rsid w:val="056622FA"/>
    <w:rsid w:val="0AB17A64"/>
    <w:rsid w:val="34795821"/>
    <w:rsid w:val="355F160E"/>
    <w:rsid w:val="41AB1CCA"/>
    <w:rsid w:val="5A5020B9"/>
    <w:rsid w:val="5C672AA9"/>
    <w:rsid w:val="7D222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7"/>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8"/>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6"/>
    <w:semiHidden/>
    <w:unhideWhenUsed/>
    <w:qFormat/>
    <w:uiPriority w:val="99"/>
  </w:style>
  <w:style w:type="paragraph" w:styleId="12">
    <w:name w:val="footer"/>
    <w:basedOn w:val="1"/>
    <w:link w:val="41"/>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0"/>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2"/>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1"/>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7"/>
    <w:semiHidden/>
    <w:unhideWhenUsed/>
    <w:qFormat/>
    <w:uiPriority w:val="99"/>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0563C1" w:themeColor="hyperlink"/>
      <w:u w:val="single"/>
      <w14:textFill>
        <w14:solidFill>
          <w14:schemeClr w14:val="hlink"/>
        </w14:solidFill>
      </w14:textFill>
    </w:rPr>
  </w:style>
  <w:style w:type="character" w:styleId="21">
    <w:name w:val="annotation reference"/>
    <w:basedOn w:val="19"/>
    <w:semiHidden/>
    <w:unhideWhenUsed/>
    <w:qFormat/>
    <w:uiPriority w:val="99"/>
    <w:rPr>
      <w:sz w:val="21"/>
      <w:szCs w:val="21"/>
    </w:rPr>
  </w:style>
  <w:style w:type="character" w:customStyle="1" w:styleId="22">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19"/>
    <w:link w:val="5"/>
    <w:semiHidden/>
    <w:qFormat/>
    <w:uiPriority w:val="9"/>
    <w:rPr>
      <w:rFonts w:cstheme="majorBidi"/>
      <w:color w:val="2F5597" w:themeColor="accent1" w:themeShade="BF"/>
      <w:sz w:val="28"/>
      <w:szCs w:val="28"/>
    </w:rPr>
  </w:style>
  <w:style w:type="character" w:customStyle="1" w:styleId="26">
    <w:name w:val="标题 5 字符"/>
    <w:basedOn w:val="19"/>
    <w:link w:val="6"/>
    <w:semiHidden/>
    <w:qFormat/>
    <w:uiPriority w:val="9"/>
    <w:rPr>
      <w:rFonts w:cstheme="majorBidi"/>
      <w:color w:val="2F5597" w:themeColor="accent1" w:themeShade="BF"/>
      <w:sz w:val="24"/>
    </w:rPr>
  </w:style>
  <w:style w:type="character" w:customStyle="1" w:styleId="27">
    <w:name w:val="标题 6 字符"/>
    <w:basedOn w:val="19"/>
    <w:link w:val="7"/>
    <w:semiHidden/>
    <w:qFormat/>
    <w:uiPriority w:val="9"/>
    <w:rPr>
      <w:rFonts w:cstheme="majorBidi"/>
      <w:b/>
      <w:bCs/>
      <w:color w:val="2F5597" w:themeColor="accent1" w:themeShade="BF"/>
    </w:rPr>
  </w:style>
  <w:style w:type="character" w:customStyle="1" w:styleId="28">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5"/>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19"/>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19"/>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8">
    <w:name w:val="明显引用 字符"/>
    <w:basedOn w:val="19"/>
    <w:link w:val="37"/>
    <w:qFormat/>
    <w:uiPriority w:val="30"/>
    <w:rPr>
      <w:i/>
      <w:iCs/>
      <w:color w:val="2F5597" w:themeColor="accent1" w:themeShade="BF"/>
    </w:rPr>
  </w:style>
  <w:style w:type="character" w:customStyle="1" w:styleId="39">
    <w:name w:val="明显参考1"/>
    <w:basedOn w:val="19"/>
    <w:qFormat/>
    <w:uiPriority w:val="32"/>
    <w:rPr>
      <w:b/>
      <w:bCs/>
      <w:smallCaps/>
      <w:color w:val="2F5597" w:themeColor="accent1" w:themeShade="BF"/>
      <w:spacing w:val="5"/>
    </w:rPr>
  </w:style>
  <w:style w:type="character" w:customStyle="1" w:styleId="40">
    <w:name w:val="页眉 字符"/>
    <w:basedOn w:val="19"/>
    <w:link w:val="13"/>
    <w:qFormat/>
    <w:uiPriority w:val="99"/>
    <w:rPr>
      <w:sz w:val="18"/>
      <w:szCs w:val="18"/>
    </w:rPr>
  </w:style>
  <w:style w:type="character" w:customStyle="1" w:styleId="41">
    <w:name w:val="页脚 字符"/>
    <w:basedOn w:val="19"/>
    <w:link w:val="12"/>
    <w:qFormat/>
    <w:uiPriority w:val="99"/>
    <w:rPr>
      <w:sz w:val="18"/>
      <w:szCs w:val="18"/>
    </w:rPr>
  </w:style>
  <w:style w:type="table" w:customStyle="1" w:styleId="42">
    <w:name w:val="网格型浅色1"/>
    <w:basedOn w:val="17"/>
    <w:qFormat/>
    <w:uiPriority w:val="40"/>
    <w:rPr>
      <w:rFonts w:ascii="Times New Roman" w:hAnsi="Times New Roman" w:eastAsia="宋体" w:cs="Times New Roman"/>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customStyle="1" w:styleId="43">
    <w:name w:val="网格型浅色12"/>
    <w:basedOn w:val="17"/>
    <w:qFormat/>
    <w:uiPriority w:val="40"/>
    <w:rPr>
      <w:rFonts w:ascii="Times New Roman" w:hAnsi="Times New Roman" w:eastAsia="宋体" w:cs="Times New Roman"/>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customStyle="1" w:styleId="44">
    <w:name w:val="网格型浅色11"/>
    <w:basedOn w:val="17"/>
    <w:qFormat/>
    <w:uiPriority w:val="40"/>
    <w:rPr>
      <w:rFonts w:ascii="Times New Roman" w:hAnsi="Times New Roman" w:eastAsia="宋体" w:cs="Times New Roman"/>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character" w:customStyle="1" w:styleId="45">
    <w:name w:val="未处理的提及1"/>
    <w:basedOn w:val="19"/>
    <w:semiHidden/>
    <w:unhideWhenUsed/>
    <w:qFormat/>
    <w:uiPriority w:val="99"/>
    <w:rPr>
      <w:color w:val="605E5C"/>
      <w:shd w:val="clear" w:color="auto" w:fill="E1DFDD"/>
    </w:rPr>
  </w:style>
  <w:style w:type="character" w:customStyle="1" w:styleId="46">
    <w:name w:val="批注文字 字符"/>
    <w:basedOn w:val="19"/>
    <w:link w:val="11"/>
    <w:semiHidden/>
    <w:qFormat/>
    <w:uiPriority w:val="99"/>
    <w:rPr>
      <w:kern w:val="2"/>
      <w:sz w:val="22"/>
      <w:szCs w:val="24"/>
      <w14:ligatures w14:val="standardContextual"/>
    </w:rPr>
  </w:style>
  <w:style w:type="character" w:customStyle="1" w:styleId="47">
    <w:name w:val="批注主题 字符"/>
    <w:basedOn w:val="46"/>
    <w:link w:val="16"/>
    <w:semiHidden/>
    <w:qFormat/>
    <w:uiPriority w:val="99"/>
    <w:rPr>
      <w:b/>
      <w:bCs/>
      <w:kern w:val="2"/>
      <w:sz w:val="22"/>
      <w:szCs w:val="24"/>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2439</Words>
  <Characters>3176</Characters>
  <Lines>24</Lines>
  <Paragraphs>6</Paragraphs>
  <TotalTime>9</TotalTime>
  <ScaleCrop>false</ScaleCrop>
  <LinksUpToDate>false</LinksUpToDate>
  <CharactersWithSpaces>3264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2025-12-01T08:09:00Z</dcterms:created>
  <dc:creator>yangyang li</dc:creator>
  <cp:lastModifiedBy>王一帆</cp:lastModifiedBy>
  <dcterms:modified xsi:type="dcterms:W3CDTF">2026-10-14T08:11:08Z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eyJoZGlkIjoiYzZkNzQ4ZWFiZmQ4NTRhOWRkZTk3YTMwMjlmMmZhYmUiLCJ1c2VySWQiOiIzMDk5Mzk3NDAifQ==</vt:lpwstr>
  </property>
  <property fmtid="{D5CDD505-2E9C-101B-9397-08002B2CF9AE}" pid="3" name="KSOProductBuildVer">
    <vt:lpwstr>2052-12.1.0.28505</vt:lpwstr>
  </property>
  <property fmtid="{D5CDD505-2E9C-101B-9397-08002B2CF9AE}" pid="4" name="ICV">
    <vt:lpwstr>3A11782AE1F149289E5A95C1184DD931_13</vt:lpwstr>
  </property>
</Properties>
</file>