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1053D">
      <w:pPr>
        <w:adjustRightInd w:val="0"/>
        <w:snapToGrid w:val="0"/>
        <w:spacing w:after="0" w:line="360" w:lineRule="auto"/>
        <w:jc w:val="center"/>
        <w:rPr>
          <w:rFonts w:ascii="Times New Roman" w:hAnsi="Times New Roman" w:eastAsia="黑体"/>
          <w:b/>
          <w:bCs/>
          <w:sz w:val="28"/>
          <w:szCs w:val="28"/>
        </w:rPr>
      </w:pPr>
      <w:bookmarkStart w:id="0" w:name="_Hlk208842777"/>
      <w:bookmarkEnd w:id="0"/>
      <w:r>
        <w:rPr>
          <w:rFonts w:ascii="Times New Roman" w:hAnsi="Times New Roman" w:eastAsia="宋体" w:cs="Times New Roman"/>
          <w:sz w:val="2"/>
        </w:rPr>
        <mc:AlternateContent>
          <mc:Choice Requires="wpg">
            <w:drawing>
              <wp:inline distT="0" distB="0" distL="0" distR="0">
                <wp:extent cx="5274310" cy="2540"/>
                <wp:effectExtent l="0" t="0" r="0" b="0"/>
                <wp:docPr id="3" name="Group 3"/>
                <wp:cNvGraphicFramePr/>
                <a:graphic xmlns:a="http://schemas.openxmlformats.org/drawingml/2006/main">
                  <a:graphicData uri="http://schemas.microsoft.com/office/word/2010/wordprocessingGroup">
                    <wpg:wgp>
                      <wpg:cNvGrpSpPr/>
                      <wpg:grpSpPr>
                        <a:xfrm>
                          <a:off x="0" y="0"/>
                          <a:ext cx="5274310" cy="3014"/>
                          <a:chOff x="0" y="0"/>
                          <a:chExt cx="5555615" cy="3175"/>
                        </a:xfrm>
                      </wpg:grpSpPr>
                      <wps:wsp>
                        <wps:cNvPr id="4" name="Graphic 4"/>
                        <wps:cNvSpPr/>
                        <wps:spPr>
                          <a:xfrm>
                            <a:off x="0" y="1523"/>
                            <a:ext cx="5555615" cy="1270"/>
                          </a:xfrm>
                          <a:custGeom>
                            <a:avLst/>
                            <a:gdLst/>
                            <a:ahLst/>
                            <a:cxnLst/>
                            <a:rect l="l" t="t" r="r" b="b"/>
                            <a:pathLst>
                              <a:path w="5555615">
                                <a:moveTo>
                                  <a:pt x="0" y="0"/>
                                </a:moveTo>
                                <a:lnTo>
                                  <a:pt x="5555615" y="0"/>
                                </a:lnTo>
                              </a:path>
                            </a:pathLst>
                          </a:custGeom>
                          <a:ln w="3048">
                            <a:solidFill>
                              <a:srgbClr val="0064AE"/>
                            </a:solidFill>
                            <a:prstDash val="solid"/>
                          </a:ln>
                        </wps:spPr>
                        <wps:bodyPr wrap="square" lIns="0" tIns="0" rIns="0" bIns="0" rtlCol="0">
                          <a:noAutofit/>
                        </wps:bodyPr>
                      </wps:wsp>
                    </wpg:wgp>
                  </a:graphicData>
                </a:graphic>
              </wp:inline>
            </w:drawing>
          </mc:Choice>
          <mc:Fallback>
            <w:pict>
              <v:group id="Group 3" o:spid="_x0000_s1026" o:spt="203" style="height:0.2pt;width:415.3pt;" coordsize="5555615,3175" o:gfxdata="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3Y34E1AAAAAIBAAAPAAAAAAAAAAEAIAAAACIAAABkcnMvZG93bnJl&#10;di54bWxQSwECFAAUAAAACACHTuJAWqEqxnMCAACnBQAADgAAAAAAAAABACAAAAAjAQAAZHJzL2Uy&#10;b0RvYy54bWxQSwUGAAAAAAYABgBZAQAACAYAAAAA&#10;">
                <o:lock v:ext="edit" aspectratio="f"/>
                <v:shape id="Graphic 4" o:spid="_x0000_s1026" o:spt="100" style="position:absolute;left:0;top:1523;height:1270;width:5555615;" filled="f" stroked="t" coordsize="5555615,1" o:gfxdata="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iz64ugAAANoA&#10;AAAPAAAAAAAAAAEAIAAAACIAAABkcnMvZG93bnJldi54bWxQSwECFAAUAAAACACHTuJAMy8FnjsA&#10;AAA5AAAAEAAAAAAAAAABACAAAAAJAQAAZHJzL3NoYXBleG1sLnhtbFBLBQYAAAAABgAGAFsBAACz&#10;AwAAAAA=&#10;" path="m0,0l5555615,0e">
                  <v:fill on="f" focussize="0,0"/>
                  <v:stroke weight="0.24pt" color="#0064AE" joinstyle="round"/>
                  <v:imagedata o:title=""/>
                  <o:lock v:ext="edit" aspectratio="f"/>
                  <v:textbox inset="0mm,0mm,0mm,0mm"/>
                </v:shape>
                <w10:wrap type="none"/>
                <w10:anchorlock/>
              </v:group>
            </w:pict>
          </mc:Fallback>
        </mc:AlternateContent>
      </w:r>
    </w:p>
    <w:p w14:paraId="5942D3DE">
      <w:pPr>
        <w:adjustRightInd w:val="0"/>
        <w:snapToGrid w:val="0"/>
        <w:spacing w:after="0" w:line="360" w:lineRule="auto"/>
        <w:jc w:val="center"/>
        <w:rPr>
          <w:rFonts w:ascii="Times New Roman" w:hAnsi="Times New Roman" w:eastAsia="黑体"/>
          <w:b/>
          <w:bCs/>
          <w:szCs w:val="22"/>
        </w:rPr>
      </w:pPr>
    </w:p>
    <w:p w14:paraId="73C6DC43">
      <w:pPr>
        <w:adjustRightInd w:val="0"/>
        <w:snapToGrid w:val="0"/>
        <w:spacing w:line="360" w:lineRule="auto"/>
        <w:jc w:val="center"/>
        <w:rPr>
          <w:rFonts w:ascii="Times New Roman" w:hAnsi="Times New Roman" w:eastAsia="黑体"/>
          <w:b/>
          <w:bCs/>
          <w:sz w:val="28"/>
          <w:szCs w:val="28"/>
          <w:highlight w:val="yellow"/>
        </w:rPr>
      </w:pPr>
      <w:r>
        <w:rPr>
          <w:rFonts w:hint="eastAsia" w:ascii="Times New Roman" w:hAnsi="Times New Roman" w:eastAsia="黑体"/>
          <w:b/>
          <w:bCs/>
          <w:sz w:val="28"/>
          <w:szCs w:val="28"/>
        </w:rPr>
        <w:t>KTC-1人甲状腺癌细胞（STR鉴定）说明书</w:t>
      </w:r>
    </w:p>
    <w:tbl>
      <w:tblPr>
        <w:tblStyle w:val="18"/>
        <w:tblpPr w:leftFromText="180" w:rightFromText="180" w:vertAnchor="text" w:horzAnchor="page" w:tblpX="6421" w:tblpY="390"/>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7"/>
        <w:gridCol w:w="3562"/>
      </w:tblGrid>
      <w:tr w14:paraId="7004BC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0" w:hRule="atLeast"/>
        </w:trPr>
        <w:tc>
          <w:tcPr>
            <w:tcW w:w="897" w:type="dxa"/>
            <w:vAlign w:val="center"/>
          </w:tcPr>
          <w:p w14:paraId="2EFCF6C5">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货  号</w:t>
            </w:r>
          </w:p>
        </w:tc>
        <w:tc>
          <w:tcPr>
            <w:tcW w:w="3562" w:type="dxa"/>
            <w:vAlign w:val="center"/>
          </w:tcPr>
          <w:p w14:paraId="3993A3EE">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SZJNK-00026</w:t>
            </w:r>
          </w:p>
        </w:tc>
      </w:tr>
      <w:tr w14:paraId="668B9F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55" w:hRule="atLeast"/>
        </w:trPr>
        <w:tc>
          <w:tcPr>
            <w:tcW w:w="897" w:type="dxa"/>
            <w:vAlign w:val="center"/>
          </w:tcPr>
          <w:p w14:paraId="00BD68B5">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规  格</w:t>
            </w:r>
          </w:p>
        </w:tc>
        <w:tc>
          <w:tcPr>
            <w:tcW w:w="3562" w:type="dxa"/>
            <w:vAlign w:val="center"/>
          </w:tcPr>
          <w:p w14:paraId="7D66A9C3">
            <w:pPr>
              <w:adjustRightInd w:val="0"/>
              <w:snapToGrid w:val="0"/>
              <w:spacing w:after="0" w:line="15" w:lineRule="atLeast"/>
              <w:jc w:val="both"/>
              <w:rPr>
                <w:rFonts w:ascii="Times New Roman" w:hAnsi="Times New Roman" w:eastAsia="宋体"/>
                <w:sz w:val="21"/>
                <w:szCs w:val="21"/>
              </w:rPr>
            </w:pPr>
            <w:r>
              <w:rPr>
                <w:rFonts w:hint="eastAsia" w:ascii="Times New Roman" w:hAnsi="Times New Roman" w:eastAsia="宋体"/>
                <w:sz w:val="21"/>
                <w:szCs w:val="21"/>
              </w:rPr>
              <w:t>1×10</w:t>
            </w:r>
            <w:r>
              <w:rPr>
                <w:rFonts w:hint="eastAsia" w:ascii="Times New Roman" w:hAnsi="Times New Roman" w:eastAsia="宋体"/>
                <w:sz w:val="21"/>
                <w:szCs w:val="21"/>
                <w:vertAlign w:val="superscript"/>
              </w:rPr>
              <w:t xml:space="preserve">6 </w:t>
            </w:r>
            <w:r>
              <w:rPr>
                <w:rFonts w:hint="eastAsia" w:ascii="Times New Roman" w:hAnsi="Times New Roman" w:eastAsia="宋体"/>
                <w:sz w:val="21"/>
                <w:szCs w:val="21"/>
              </w:rPr>
              <w:t>cells（1个T25瓶/2冻存管）</w:t>
            </w:r>
          </w:p>
        </w:tc>
      </w:tr>
      <w:tr w14:paraId="32ACAF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24" w:hRule="atLeast"/>
        </w:trPr>
        <w:tc>
          <w:tcPr>
            <w:tcW w:w="897" w:type="dxa"/>
            <w:vAlign w:val="center"/>
          </w:tcPr>
          <w:p w14:paraId="15604787">
            <w:pPr>
              <w:adjustRightInd w:val="0"/>
              <w:snapToGrid w:val="0"/>
              <w:spacing w:after="0" w:line="15" w:lineRule="atLeast"/>
              <w:jc w:val="both"/>
              <w:rPr>
                <w:rFonts w:ascii="Times New Roman" w:hAnsi="Times New Roman" w:eastAsia="宋体"/>
                <w:sz w:val="21"/>
                <w:szCs w:val="21"/>
                <w:highlight w:val="none"/>
              </w:rPr>
            </w:pPr>
            <w:r>
              <w:rPr>
                <w:rFonts w:hint="eastAsia" w:ascii="Times New Roman" w:hAnsi="Times New Roman" w:eastAsia="宋体"/>
                <w:sz w:val="21"/>
                <w:szCs w:val="21"/>
                <w:highlight w:val="none"/>
              </w:rPr>
              <w:t>来  源</w:t>
            </w:r>
          </w:p>
        </w:tc>
        <w:tc>
          <w:tcPr>
            <w:tcW w:w="3562" w:type="dxa"/>
            <w:vAlign w:val="center"/>
          </w:tcPr>
          <w:p w14:paraId="29A4CF2D">
            <w:pPr>
              <w:adjustRightInd w:val="0"/>
              <w:snapToGrid w:val="0"/>
              <w:spacing w:after="0" w:line="15" w:lineRule="atLeast"/>
              <w:jc w:val="both"/>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eastAsia="zh-CN"/>
              </w:rPr>
              <w:t>低分化甲状腺癌</w:t>
            </w:r>
          </w:p>
        </w:tc>
      </w:tr>
      <w:tr w14:paraId="4D2768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76" w:hRule="atLeast"/>
        </w:trPr>
        <w:tc>
          <w:tcPr>
            <w:tcW w:w="897" w:type="dxa"/>
            <w:vAlign w:val="center"/>
          </w:tcPr>
          <w:p w14:paraId="25D9F1B4">
            <w:pPr>
              <w:adjustRightInd w:val="0"/>
              <w:snapToGrid w:val="0"/>
              <w:spacing w:after="0" w:line="15" w:lineRule="atLeast"/>
              <w:jc w:val="both"/>
              <w:rPr>
                <w:rFonts w:ascii="Times New Roman" w:hAnsi="Times New Roman" w:eastAsia="宋体"/>
                <w:sz w:val="21"/>
                <w:szCs w:val="21"/>
                <w:highlight w:val="none"/>
              </w:rPr>
            </w:pPr>
            <w:r>
              <w:rPr>
                <w:rFonts w:hint="eastAsia" w:ascii="Times New Roman" w:hAnsi="Times New Roman" w:eastAsia="宋体"/>
                <w:sz w:val="21"/>
                <w:szCs w:val="21"/>
                <w:highlight w:val="none"/>
              </w:rPr>
              <w:t>特  征</w:t>
            </w:r>
          </w:p>
        </w:tc>
        <w:tc>
          <w:tcPr>
            <w:tcW w:w="3562" w:type="dxa"/>
            <w:vAlign w:val="center"/>
          </w:tcPr>
          <w:p w14:paraId="351A4DCC">
            <w:pPr>
              <w:adjustRightInd w:val="0"/>
              <w:snapToGrid w:val="0"/>
              <w:spacing w:after="0" w:line="15" w:lineRule="atLeast"/>
              <w:jc w:val="both"/>
              <w:rPr>
                <w:rFonts w:ascii="Times New Roman" w:hAnsi="Times New Roman" w:eastAsia="宋体"/>
                <w:sz w:val="21"/>
                <w:szCs w:val="21"/>
                <w:highlight w:val="none"/>
              </w:rPr>
            </w:pPr>
            <w:r>
              <w:rPr>
                <w:rFonts w:hint="eastAsia" w:ascii="Times New Roman" w:hAnsi="Times New Roman" w:eastAsia="宋体"/>
                <w:sz w:val="21"/>
                <w:szCs w:val="21"/>
                <w:highlight w:val="none"/>
              </w:rPr>
              <w:t>贴壁生长</w:t>
            </w:r>
          </w:p>
        </w:tc>
      </w:tr>
      <w:tr w14:paraId="364DD4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5" w:hRule="atLeast"/>
        </w:trPr>
        <w:tc>
          <w:tcPr>
            <w:tcW w:w="897" w:type="dxa"/>
            <w:vAlign w:val="center"/>
          </w:tcPr>
          <w:p w14:paraId="7BF0E917">
            <w:pPr>
              <w:adjustRightInd w:val="0"/>
              <w:snapToGrid w:val="0"/>
              <w:spacing w:after="0" w:line="15" w:lineRule="atLeast"/>
              <w:jc w:val="both"/>
              <w:rPr>
                <w:rFonts w:ascii="Times New Roman" w:hAnsi="Times New Roman" w:eastAsia="宋体"/>
                <w:sz w:val="21"/>
                <w:szCs w:val="21"/>
                <w:highlight w:val="none"/>
              </w:rPr>
            </w:pPr>
            <w:r>
              <w:rPr>
                <w:rFonts w:hint="eastAsia" w:ascii="Times New Roman" w:hAnsi="Times New Roman" w:eastAsia="宋体"/>
                <w:sz w:val="21"/>
                <w:szCs w:val="21"/>
                <w:highlight w:val="none"/>
              </w:rPr>
              <w:t>培养基</w:t>
            </w:r>
          </w:p>
        </w:tc>
        <w:tc>
          <w:tcPr>
            <w:tcW w:w="3562" w:type="dxa"/>
            <w:vAlign w:val="center"/>
          </w:tcPr>
          <w:p w14:paraId="65E5A73E">
            <w:pPr>
              <w:adjustRightInd w:val="0"/>
              <w:snapToGrid w:val="0"/>
              <w:spacing w:after="0" w:line="15" w:lineRule="atLeast"/>
              <w:jc w:val="both"/>
              <w:rPr>
                <w:rFonts w:ascii="Times New Roman" w:hAnsi="Times New Roman" w:eastAsia="宋体"/>
                <w:sz w:val="21"/>
                <w:szCs w:val="21"/>
                <w:highlight w:val="none"/>
              </w:rPr>
            </w:pPr>
            <w:bookmarkStart w:id="3" w:name="_GoBack"/>
            <w:r>
              <w:rPr>
                <w:rFonts w:hint="eastAsia" w:ascii="Times New Roman" w:hAnsi="Times New Roman" w:eastAsia="宋体"/>
                <w:sz w:val="21"/>
                <w:szCs w:val="21"/>
                <w:highlight w:val="none"/>
              </w:rPr>
              <w:t>KTC-1</w:t>
            </w:r>
            <w:bookmarkEnd w:id="3"/>
            <w:r>
              <w:rPr>
                <w:rFonts w:ascii="Times New Roman" w:hAnsi="Times New Roman" w:eastAsia="宋体"/>
                <w:sz w:val="21"/>
                <w:szCs w:val="21"/>
                <w:highlight w:val="none"/>
              </w:rPr>
              <w:t>细胞</w:t>
            </w:r>
            <w:r>
              <w:rPr>
                <w:rFonts w:hint="eastAsia" w:ascii="Times New Roman" w:hAnsi="Times New Roman" w:eastAsia="宋体"/>
                <w:sz w:val="21"/>
                <w:szCs w:val="21"/>
                <w:highlight w:val="none"/>
              </w:rPr>
              <w:t>专用培养基（货号： SZJNK-00026-001）</w:t>
            </w:r>
          </w:p>
        </w:tc>
      </w:tr>
    </w:tbl>
    <w:p w14:paraId="62D98BCA">
      <w:pPr>
        <w:adjustRightInd w:val="0"/>
        <w:snapToGrid w:val="0"/>
        <w:spacing w:after="0" w:line="360" w:lineRule="auto"/>
        <w:jc w:val="center"/>
        <w:rPr>
          <w:rFonts w:ascii="Times New Roman" w:hAnsi="Times New Roman" w:eastAsia="黑体"/>
          <w:b/>
          <w:bCs/>
          <w:szCs w:val="22"/>
          <w:highlight w:val="none"/>
        </w:rPr>
      </w:pPr>
      <w:r>
        <w:rPr>
          <w:rFonts w:hint="eastAsia" w:ascii="Times New Roman" w:hAnsi="Times New Roman" w:eastAsia="宋体"/>
          <w:highlight w:val="none"/>
        </w:rPr>
        <w:t xml:space="preserve"> </w:t>
      </w:r>
    </w:p>
    <w:p w14:paraId="4ED4BC91">
      <w:pPr>
        <w:adjustRightInd w:val="0"/>
        <w:snapToGrid w:val="0"/>
        <w:spacing w:line="15" w:lineRule="atLeast"/>
        <w:jc w:val="both"/>
        <w:rPr>
          <w:rFonts w:ascii="Times New Roman" w:hAnsi="Times New Roman" w:eastAsia="宋体"/>
          <w:highlight w:val="none"/>
        </w:rPr>
      </w:pPr>
    </w:p>
    <w:p w14:paraId="5252EE00">
      <w:pPr>
        <w:tabs>
          <w:tab w:val="left" w:pos="5388"/>
        </w:tabs>
        <w:adjustRightInd w:val="0"/>
        <w:snapToGrid w:val="0"/>
        <w:spacing w:after="0" w:line="360" w:lineRule="auto"/>
        <w:rPr>
          <w:rFonts w:ascii="Times New Roman" w:hAnsi="Times New Roman" w:eastAsia="黑体"/>
          <w:b/>
          <w:bCs/>
          <w:sz w:val="28"/>
          <w:szCs w:val="28"/>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ascii="Times New Roman" w:hAnsi="Times New Roman" w:eastAsia="黑体"/>
          <w:b/>
          <w:bCs/>
          <w:sz w:val="28"/>
          <w:szCs w:val="28"/>
          <w:highlight w:val="none"/>
        </w:rPr>
        <w:tab/>
      </w:r>
    </w:p>
    <w:p w14:paraId="52816258">
      <w:pPr>
        <w:adjustRightInd w:val="0"/>
        <w:snapToGrid w:val="0"/>
        <w:spacing w:before="156" w:beforeLines="50" w:after="156" w:afterLines="50" w:line="240" w:lineRule="auto"/>
        <w:rPr>
          <w:rFonts w:hint="eastAsia" w:ascii="黑体" w:hAnsi="黑体" w:eastAsia="黑体"/>
          <w:sz w:val="28"/>
          <w:szCs w:val="28"/>
          <w:highlight w:val="none"/>
        </w:rPr>
      </w:pPr>
      <w:bookmarkStart w:id="1" w:name="OLE_LINK1"/>
      <w:r>
        <w:rPr>
          <w:rFonts w:hint="eastAsia" w:ascii="黑体" w:hAnsi="黑体" w:eastAsia="黑体"/>
          <w:sz w:val="28"/>
          <w:szCs w:val="28"/>
          <w:highlight w:val="none"/>
        </w:rPr>
        <w:t>一、基本信息</w:t>
      </w:r>
    </w:p>
    <w:bookmarkEnd w:id="1"/>
    <w:tbl>
      <w:tblPr>
        <w:tblStyle w:val="18"/>
        <w:tblW w:w="9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9"/>
        <w:gridCol w:w="7215"/>
      </w:tblGrid>
      <w:tr w14:paraId="09E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19" w:type="dxa"/>
          </w:tcPr>
          <w:p w14:paraId="48A6BCD5">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中文名称</w:t>
            </w:r>
          </w:p>
        </w:tc>
        <w:tc>
          <w:tcPr>
            <w:tcW w:w="7215" w:type="dxa"/>
          </w:tcPr>
          <w:p w14:paraId="3FA722AD">
            <w:pPr>
              <w:widowControl/>
              <w:spacing w:after="0" w:line="240" w:lineRule="auto"/>
              <w:jc w:val="both"/>
              <w:rPr>
                <w:rFonts w:ascii="Times New Roman" w:hAnsi="Times New Roman" w:eastAsia="宋体"/>
                <w:sz w:val="20"/>
                <w:szCs w:val="20"/>
                <w:highlight w:val="none"/>
              </w:rPr>
            </w:pPr>
            <w:r>
              <w:rPr>
                <w:rFonts w:ascii="Times New Roman" w:hAnsi="Times New Roman" w:eastAsia="宋体"/>
                <w:sz w:val="20"/>
                <w:szCs w:val="20"/>
                <w:highlight w:val="none"/>
              </w:rPr>
              <w:t>人甲状腺癌细胞</w:t>
            </w:r>
          </w:p>
        </w:tc>
      </w:tr>
      <w:tr w14:paraId="5B0A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119" w:type="dxa"/>
          </w:tcPr>
          <w:p w14:paraId="7695CA5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别称</w:t>
            </w:r>
          </w:p>
        </w:tc>
        <w:tc>
          <w:tcPr>
            <w:tcW w:w="7215" w:type="dxa"/>
          </w:tcPr>
          <w:p w14:paraId="6B8150F0">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KTC-1</w:t>
            </w:r>
          </w:p>
        </w:tc>
      </w:tr>
      <w:tr w14:paraId="77CB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119" w:type="dxa"/>
          </w:tcPr>
          <w:p w14:paraId="4CD1CAF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细胞货号</w:t>
            </w:r>
          </w:p>
        </w:tc>
        <w:tc>
          <w:tcPr>
            <w:tcW w:w="7215" w:type="dxa"/>
          </w:tcPr>
          <w:p w14:paraId="2765647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SZJNK-00026</w:t>
            </w:r>
          </w:p>
        </w:tc>
      </w:tr>
      <w:tr w14:paraId="3FFE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2119" w:type="dxa"/>
          </w:tcPr>
          <w:p w14:paraId="6796271B">
            <w:pPr>
              <w:widowControl/>
              <w:adjustRightInd w:val="0"/>
              <w:snapToGrid w:val="0"/>
              <w:spacing w:before="624" w:beforeLines="200"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细胞背景</w:t>
            </w:r>
          </w:p>
        </w:tc>
        <w:tc>
          <w:tcPr>
            <w:tcW w:w="7215" w:type="dxa"/>
          </w:tcPr>
          <w:p w14:paraId="06673238">
            <w:pPr>
              <w:adjustRightInd w:val="0"/>
              <w:snapToGrid w:val="0"/>
              <w:spacing w:after="0" w:line="15" w:lineRule="atLeast"/>
              <w:jc w:val="both"/>
              <w:rPr>
                <w:rFonts w:ascii="Times New Roman" w:hAnsi="Times New Roman" w:eastAsia="宋体"/>
                <w:sz w:val="20"/>
                <w:szCs w:val="20"/>
                <w:highlight w:val="none"/>
              </w:rPr>
            </w:pPr>
            <w:r>
              <w:rPr>
                <w:rFonts w:ascii="Times New Roman" w:hAnsi="Times New Roman" w:eastAsia="宋体"/>
                <w:sz w:val="20"/>
                <w:szCs w:val="20"/>
                <w:highlight w:val="none"/>
              </w:rPr>
              <w:t>KTC-1细胞系是一种特性良好的人甲状腺癌细胞模型，来源于一名成年低分化甲状腺癌患者。由于该细胞系起源于一种以快速进展和对常规治疗有耐药性而闻名的癌症类型，因此在针对侵袭性甲状腺癌(包括间变性甲状腺癌(ATC))的研究中特别有价值。KTC-1细胞呈纺锤形形态，与上皮-间质转化(EMT)一致，这是高度侵袭性癌症的标志。已知这些细胞具有关键癌基因和肿瘤抑制基因突变，包括BRAF和TP53，这有助于其恶性表型。</w:t>
            </w:r>
            <w:r>
              <w:rPr>
                <w:rFonts w:hint="eastAsia" w:ascii="Times New Roman" w:hAnsi="Times New Roman" w:eastAsia="宋体"/>
                <w:sz w:val="20"/>
                <w:szCs w:val="20"/>
                <w:highlight w:val="none"/>
              </w:rPr>
              <w:br w:type="textWrapping"/>
            </w:r>
            <w:r>
              <w:rPr>
                <w:rFonts w:hint="eastAsia" w:ascii="Times New Roman" w:hAnsi="Times New Roman" w:eastAsia="宋体"/>
                <w:sz w:val="20"/>
                <w:szCs w:val="20"/>
                <w:highlight w:val="none"/>
              </w:rPr>
              <w:t>KTC-1细胞是研究甲状腺癌进展的分子机制的有用模型，包括MAPK/ERK和PI3K/AKT等信号通路，这些信号通路在侵袭性甲状腺癌中经常失调。它们也被用于药物筛选试验，以评估针对这些途径的新型治疗剂的疗效。此外，KTC-1细胞已被用于研究肿瘤微环境，特别是癌细胞与基质细胞之间可能影响肿瘤生长和转移的相互作用。由于其充分记录的遗传和表型特征，KTC-1细胞为旨在开发侵袭性甲状腺癌更有效治疗策略的转化研究提供了一个强大的平台。</w:t>
            </w:r>
          </w:p>
        </w:tc>
      </w:tr>
      <w:tr w14:paraId="6364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19" w:type="dxa"/>
          </w:tcPr>
          <w:p w14:paraId="191E7C3B">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细胞形态</w:t>
            </w:r>
          </w:p>
        </w:tc>
        <w:tc>
          <w:tcPr>
            <w:tcW w:w="7215" w:type="dxa"/>
          </w:tcPr>
          <w:p w14:paraId="419099AF">
            <w:pPr>
              <w:widowControl/>
              <w:spacing w:after="0" w:line="240" w:lineRule="auto"/>
              <w:jc w:val="both"/>
              <w:rPr>
                <w:rFonts w:ascii="Times New Roman" w:hAnsi="Times New Roman" w:eastAsia="宋体"/>
                <w:sz w:val="20"/>
                <w:szCs w:val="20"/>
                <w:highlight w:val="none"/>
              </w:rPr>
            </w:pPr>
            <w:r>
              <w:rPr>
                <w:rFonts w:ascii="Times New Roman" w:hAnsi="Times New Roman" w:eastAsia="宋体"/>
                <w:sz w:val="20"/>
                <w:szCs w:val="20"/>
                <w:highlight w:val="none"/>
              </w:rPr>
              <w:t>梭形细胞，伴有巨细胞</w:t>
            </w:r>
          </w:p>
        </w:tc>
      </w:tr>
      <w:tr w14:paraId="72F6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119" w:type="dxa"/>
          </w:tcPr>
          <w:p w14:paraId="24C95CC6">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供体来源</w:t>
            </w:r>
          </w:p>
        </w:tc>
        <w:tc>
          <w:tcPr>
            <w:tcW w:w="7215" w:type="dxa"/>
          </w:tcPr>
          <w:p w14:paraId="5BF8CDA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男性</w:t>
            </w:r>
            <w:r>
              <w:rPr>
                <w:rFonts w:ascii="Times New Roman" w:hAnsi="Times New Roman" w:eastAsia="宋体"/>
                <w:sz w:val="20"/>
                <w:szCs w:val="20"/>
                <w:highlight w:val="none"/>
              </w:rPr>
              <w:t xml:space="preserve"> </w:t>
            </w:r>
            <w:r>
              <w:rPr>
                <w:rFonts w:hint="eastAsia" w:ascii="Times New Roman" w:hAnsi="Times New Roman" w:eastAsia="宋体"/>
                <w:sz w:val="20"/>
                <w:szCs w:val="20"/>
                <w:highlight w:val="none"/>
              </w:rPr>
              <w:t>；68岁</w:t>
            </w:r>
          </w:p>
        </w:tc>
      </w:tr>
      <w:tr w14:paraId="7825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119" w:type="dxa"/>
          </w:tcPr>
          <w:p w14:paraId="7130723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细胞类型</w:t>
            </w:r>
          </w:p>
        </w:tc>
        <w:tc>
          <w:tcPr>
            <w:tcW w:w="7215" w:type="dxa"/>
          </w:tcPr>
          <w:p w14:paraId="6A9BDAC9">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肿瘤细胞</w:t>
            </w:r>
          </w:p>
        </w:tc>
      </w:tr>
      <w:tr w14:paraId="5DE7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119" w:type="dxa"/>
          </w:tcPr>
          <w:p w14:paraId="4B05C53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收录</w:t>
            </w:r>
          </w:p>
        </w:tc>
        <w:tc>
          <w:tcPr>
            <w:tcW w:w="7215" w:type="dxa"/>
          </w:tcPr>
          <w:p w14:paraId="376CA448">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ATCC</w:t>
            </w:r>
          </w:p>
        </w:tc>
      </w:tr>
      <w:tr w14:paraId="47EC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119" w:type="dxa"/>
          </w:tcPr>
          <w:p w14:paraId="06C14CD3">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培养条件</w:t>
            </w:r>
          </w:p>
        </w:tc>
        <w:tc>
          <w:tcPr>
            <w:tcW w:w="7215" w:type="dxa"/>
          </w:tcPr>
          <w:p w14:paraId="40AD0030">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37℃；5% CO</w:t>
            </w:r>
            <w:r>
              <w:rPr>
                <w:rFonts w:hint="eastAsia" w:ascii="Times New Roman" w:hAnsi="Times New Roman" w:eastAsia="宋体"/>
                <w:sz w:val="20"/>
                <w:szCs w:val="20"/>
                <w:highlight w:val="none"/>
                <w:vertAlign w:val="subscript"/>
              </w:rPr>
              <w:t>2</w:t>
            </w:r>
            <w:r>
              <w:rPr>
                <w:rFonts w:hint="eastAsia" w:ascii="Times New Roman" w:hAnsi="Times New Roman" w:eastAsia="宋体"/>
                <w:sz w:val="20"/>
                <w:szCs w:val="20"/>
                <w:highlight w:val="none"/>
              </w:rPr>
              <w:t>；饱和湿度</w:t>
            </w:r>
          </w:p>
        </w:tc>
      </w:tr>
      <w:tr w14:paraId="2007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19" w:type="dxa"/>
          </w:tcPr>
          <w:p w14:paraId="6952916E">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培养体系</w:t>
            </w:r>
          </w:p>
        </w:tc>
        <w:tc>
          <w:tcPr>
            <w:tcW w:w="7215" w:type="dxa"/>
          </w:tcPr>
          <w:p w14:paraId="2B5CBE92">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KTC-1专用培养基（货号：SZJNK-00026-001）</w:t>
            </w:r>
          </w:p>
        </w:tc>
      </w:tr>
      <w:tr w14:paraId="3BA5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119" w:type="dxa"/>
          </w:tcPr>
          <w:p w14:paraId="5FDEFEB1">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倍增时间</w:t>
            </w:r>
          </w:p>
        </w:tc>
        <w:tc>
          <w:tcPr>
            <w:tcW w:w="7215" w:type="dxa"/>
          </w:tcPr>
          <w:p w14:paraId="08DDAF96">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约48 hours</w:t>
            </w:r>
          </w:p>
        </w:tc>
      </w:tr>
      <w:tr w14:paraId="04CB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119" w:type="dxa"/>
          </w:tcPr>
          <w:p w14:paraId="5F08B15D">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sz w:val="20"/>
                <w:szCs w:val="20"/>
                <w:highlight w:val="none"/>
              </w:rPr>
              <w:t>冻存条件</w:t>
            </w:r>
          </w:p>
        </w:tc>
        <w:tc>
          <w:tcPr>
            <w:tcW w:w="7215" w:type="dxa"/>
          </w:tcPr>
          <w:p w14:paraId="6B8913D9">
            <w:pPr>
              <w:widowControl/>
              <w:spacing w:after="0" w:line="240" w:lineRule="auto"/>
              <w:jc w:val="both"/>
              <w:rPr>
                <w:rFonts w:ascii="Times New Roman" w:hAnsi="Times New Roman" w:eastAsia="宋体"/>
                <w:sz w:val="20"/>
                <w:szCs w:val="20"/>
                <w:highlight w:val="none"/>
              </w:rPr>
            </w:pPr>
            <w:r>
              <w:rPr>
                <w:rFonts w:ascii="Times New Roman" w:hAnsi="Times New Roman" w:eastAsia="宋体"/>
                <w:sz w:val="20"/>
                <w:szCs w:val="20"/>
                <w:highlight w:val="none"/>
              </w:rPr>
              <w:t>冻存液</w:t>
            </w:r>
            <w:r>
              <w:rPr>
                <w:rFonts w:hint="eastAsia" w:ascii="Times New Roman" w:hAnsi="Times New Roman" w:eastAsia="宋体"/>
                <w:sz w:val="20"/>
                <w:szCs w:val="20"/>
                <w:highlight w:val="none"/>
              </w:rPr>
              <w:t>：</w:t>
            </w:r>
            <w:r>
              <w:rPr>
                <w:rFonts w:ascii="Times New Roman" w:hAnsi="Times New Roman" w:eastAsia="宋体"/>
                <w:sz w:val="20"/>
                <w:szCs w:val="20"/>
                <w:highlight w:val="none"/>
              </w:rPr>
              <w:t>5</w:t>
            </w:r>
            <w:r>
              <w:rPr>
                <w:rFonts w:hint="eastAsia" w:ascii="Times New Roman" w:hAnsi="Times New Roman" w:eastAsia="宋体"/>
                <w:sz w:val="20"/>
                <w:szCs w:val="20"/>
                <w:highlight w:val="none"/>
              </w:rPr>
              <w:t>0</w:t>
            </w:r>
            <w:r>
              <w:rPr>
                <w:rFonts w:ascii="Times New Roman" w:hAnsi="Times New Roman" w:eastAsia="宋体"/>
                <w:sz w:val="20"/>
                <w:szCs w:val="20"/>
                <w:highlight w:val="none"/>
              </w:rPr>
              <w:t xml:space="preserve">% 基础培养基 + 40% FBS + </w:t>
            </w:r>
            <w:r>
              <w:rPr>
                <w:rFonts w:hint="eastAsia" w:ascii="Times New Roman" w:hAnsi="Times New Roman" w:eastAsia="宋体"/>
                <w:sz w:val="20"/>
                <w:szCs w:val="20"/>
                <w:highlight w:val="none"/>
              </w:rPr>
              <w:t>10</w:t>
            </w:r>
            <w:r>
              <w:rPr>
                <w:rFonts w:ascii="Times New Roman" w:hAnsi="Times New Roman" w:eastAsia="宋体"/>
                <w:sz w:val="20"/>
                <w:szCs w:val="20"/>
                <w:highlight w:val="none"/>
              </w:rPr>
              <w:t>% DMSO；液氮</w:t>
            </w:r>
          </w:p>
        </w:tc>
      </w:tr>
      <w:tr w14:paraId="3061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119" w:type="dxa"/>
            <w:vAlign w:val="center"/>
          </w:tcPr>
          <w:p w14:paraId="0B5E229F">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细胞活力</w:t>
            </w:r>
          </w:p>
        </w:tc>
        <w:tc>
          <w:tcPr>
            <w:tcW w:w="7215" w:type="dxa"/>
            <w:vAlign w:val="center"/>
          </w:tcPr>
          <w:p w14:paraId="3562F518">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台盼蓝染色</w:t>
            </w:r>
          </w:p>
        </w:tc>
      </w:tr>
      <w:tr w14:paraId="594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119" w:type="dxa"/>
            <w:vAlign w:val="center"/>
          </w:tcPr>
          <w:p w14:paraId="25280BCC">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无菌检验</w:t>
            </w:r>
          </w:p>
        </w:tc>
        <w:tc>
          <w:tcPr>
            <w:tcW w:w="7215" w:type="dxa"/>
            <w:vAlign w:val="center"/>
          </w:tcPr>
          <w:p w14:paraId="0C594F87">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cs="宋体"/>
                <w:sz w:val="20"/>
                <w:szCs w:val="20"/>
                <w:highlight w:val="none"/>
              </w:rPr>
              <w:t>阴性（√）；阳性（ ）</w:t>
            </w:r>
          </w:p>
        </w:tc>
      </w:tr>
      <w:tr w14:paraId="5548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19" w:type="dxa"/>
            <w:vAlign w:val="center"/>
          </w:tcPr>
          <w:p w14:paraId="6DA088AE">
            <w:pPr>
              <w:widowControl/>
              <w:spacing w:after="0" w:line="240" w:lineRule="auto"/>
              <w:jc w:val="center"/>
              <w:rPr>
                <w:rFonts w:ascii="Times New Roman" w:hAnsi="Times New Roman" w:eastAsia="宋体"/>
                <w:sz w:val="20"/>
                <w:szCs w:val="20"/>
                <w:highlight w:val="none"/>
              </w:rPr>
            </w:pPr>
            <w:r>
              <w:rPr>
                <w:rFonts w:hint="eastAsia" w:ascii="Times New Roman" w:hAnsi="Times New Roman" w:eastAsia="宋体" w:cs="宋体"/>
                <w:sz w:val="20"/>
                <w:szCs w:val="20"/>
                <w:highlight w:val="none"/>
              </w:rPr>
              <w:t>支原体检验</w:t>
            </w:r>
          </w:p>
        </w:tc>
        <w:tc>
          <w:tcPr>
            <w:tcW w:w="7215" w:type="dxa"/>
            <w:vAlign w:val="center"/>
          </w:tcPr>
          <w:p w14:paraId="42A88022">
            <w:pPr>
              <w:widowControl/>
              <w:spacing w:after="0" w:line="240" w:lineRule="auto"/>
              <w:jc w:val="both"/>
              <w:rPr>
                <w:rFonts w:ascii="Times New Roman" w:hAnsi="Times New Roman" w:eastAsia="宋体"/>
                <w:sz w:val="20"/>
                <w:szCs w:val="20"/>
                <w:highlight w:val="none"/>
              </w:rPr>
            </w:pPr>
            <w:r>
              <w:rPr>
                <w:rFonts w:hint="eastAsia" w:ascii="Times New Roman" w:hAnsi="Times New Roman" w:eastAsia="宋体" w:cs="宋体"/>
                <w:sz w:val="20"/>
                <w:szCs w:val="20"/>
                <w:highlight w:val="none"/>
              </w:rPr>
              <w:t>阴性（√）；阳性（ ）</w:t>
            </w:r>
          </w:p>
        </w:tc>
      </w:tr>
    </w:tbl>
    <w:p w14:paraId="58AA83F4">
      <w:pPr>
        <w:adjustRightInd w:val="0"/>
        <w:snapToGrid w:val="0"/>
        <w:spacing w:after="0" w:line="240" w:lineRule="auto"/>
        <w:rPr>
          <w:rFonts w:hint="eastAsia" w:ascii="黑体" w:hAnsi="黑体" w:eastAsia="黑体"/>
          <w:b/>
          <w:bCs/>
          <w:sz w:val="30"/>
          <w:szCs w:val="30"/>
          <w:highlight w:val="none"/>
        </w:rPr>
      </w:pPr>
    </w:p>
    <w:p w14:paraId="2095053A">
      <w:pPr>
        <w:adjustRightInd w:val="0"/>
        <w:snapToGrid w:val="0"/>
        <w:spacing w:before="156" w:beforeLines="50" w:after="156" w:afterLines="50" w:line="240" w:lineRule="auto"/>
        <w:rPr>
          <w:rFonts w:hint="eastAsia" w:ascii="黑体" w:hAnsi="黑体" w:eastAsia="黑体"/>
          <w:sz w:val="28"/>
          <w:szCs w:val="28"/>
          <w:highlight w:val="none"/>
        </w:rPr>
      </w:pPr>
    </w:p>
    <w:p w14:paraId="0FF656E4">
      <w:pPr>
        <w:adjustRightInd w:val="0"/>
        <w:snapToGrid w:val="0"/>
        <w:spacing w:before="156" w:beforeLines="50" w:after="156" w:afterLines="50" w:line="240" w:lineRule="auto"/>
        <w:rPr>
          <w:rFonts w:hint="eastAsia" w:ascii="黑体" w:hAnsi="黑体" w:eastAsia="黑体"/>
          <w:sz w:val="28"/>
          <w:szCs w:val="28"/>
          <w:highlight w:val="none"/>
        </w:rPr>
      </w:pPr>
      <w:r>
        <w:rPr>
          <w:rFonts w:hint="eastAsia" w:ascii="黑体" w:hAnsi="黑体" w:eastAsia="黑体"/>
          <w:sz w:val="28"/>
          <w:szCs w:val="28"/>
          <w:highlight w:val="none"/>
        </w:rPr>
        <w:t>二、STR鉴定</w:t>
      </w:r>
    </w:p>
    <w:p w14:paraId="787033FA">
      <w:pPr>
        <w:rPr>
          <w:rFonts w:hint="eastAsia" w:ascii="宋体" w:hAnsi="黑体" w:eastAsia="宋体"/>
          <w:b/>
          <w:bCs/>
          <w:sz w:val="24"/>
          <w:highlight w:val="none"/>
        </w:rPr>
      </w:pPr>
      <w:r>
        <w:rPr>
          <w:rFonts w:hint="eastAsia" w:ascii="宋体" w:hAnsi="黑体" w:eastAsia="宋体"/>
          <w:b/>
          <w:bCs/>
          <w:sz w:val="24"/>
          <w:highlight w:val="none"/>
        </w:rPr>
        <w:t>1. 材料处理和检验方法</w:t>
      </w:r>
    </w:p>
    <w:p w14:paraId="03870525">
      <w:pPr>
        <w:ind w:firstLine="400" w:firstLineChars="200"/>
        <w:jc w:val="both"/>
        <w:rPr>
          <w:rFonts w:ascii="Times New Roman" w:hAnsi="Times New Roman" w:eastAsia="宋体"/>
          <w:sz w:val="20"/>
          <w:szCs w:val="20"/>
          <w:highlight w:val="none"/>
        </w:rPr>
      </w:pPr>
      <w:r>
        <w:rPr>
          <w:rFonts w:hint="eastAsia" w:ascii="Times New Roman" w:hAnsi="Times New Roman" w:eastAsia="宋体"/>
          <w:sz w:val="20"/>
          <w:szCs w:val="20"/>
          <w:highlight w:val="none"/>
        </w:rPr>
        <w:t>取适量的KTC-1细胞，用Axygen的基因组抽提试剂盒提取DNA，采用VeriFiler</w:t>
      </w:r>
      <w:r>
        <w:rPr>
          <w:rFonts w:hint="eastAsia" w:ascii="Times New Roman" w:hAnsi="Times New Roman" w:eastAsia="宋体"/>
          <w:sz w:val="20"/>
          <w:szCs w:val="20"/>
          <w:highlight w:val="none"/>
          <w:vertAlign w:val="superscript"/>
        </w:rPr>
        <w:t>TM</w:t>
      </w:r>
      <w:r>
        <w:rPr>
          <w:rFonts w:hint="eastAsia" w:ascii="Times New Roman" w:hAnsi="Times New Roman" w:eastAsia="宋体"/>
          <w:sz w:val="20"/>
          <w:szCs w:val="20"/>
          <w:highlight w:val="none"/>
        </w:rPr>
        <w:t xml:space="preserve"> Plus PCR Reagents扩增试剂盒扩增，在ABI 3500XL型遗传分析仪上对STR位点和性别基因Amelogenin进行检测。</w:t>
      </w:r>
    </w:p>
    <w:p w14:paraId="6DDD11B7">
      <w:pPr>
        <w:rPr>
          <w:rFonts w:hint="eastAsia" w:ascii="宋体" w:hAnsi="黑体" w:eastAsia="宋体"/>
          <w:b/>
          <w:bCs/>
          <w:sz w:val="24"/>
          <w:highlight w:val="none"/>
        </w:rPr>
      </w:pPr>
      <w:r>
        <w:rPr>
          <w:rFonts w:hint="eastAsia" w:ascii="宋体" w:hAnsi="黑体" w:eastAsia="宋体"/>
          <w:b/>
          <w:bCs/>
          <w:sz w:val="24"/>
          <w:highlight w:val="none"/>
        </w:rPr>
        <w:t>2. 检验结果</w:t>
      </w:r>
    </w:p>
    <w:tbl>
      <w:tblPr>
        <w:tblStyle w:val="42"/>
        <w:tblpPr w:leftFromText="180" w:rightFromText="180" w:vertAnchor="text" w:horzAnchor="margin" w:tblpXSpec="center" w:tblpY="49"/>
        <w:tblW w:w="8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23" w:type="dxa"/>
          <w:bottom w:w="0" w:type="dxa"/>
          <w:right w:w="108" w:type="dxa"/>
        </w:tblCellMar>
      </w:tblPr>
      <w:tblGrid>
        <w:gridCol w:w="1527"/>
        <w:gridCol w:w="1387"/>
        <w:gridCol w:w="2174"/>
        <w:gridCol w:w="1430"/>
        <w:gridCol w:w="1606"/>
      </w:tblGrid>
      <w:tr w14:paraId="23A3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3" w:type="dxa"/>
            <w:bottom w:w="0" w:type="dxa"/>
            <w:right w:w="108" w:type="dxa"/>
          </w:tblCellMar>
        </w:tblPrEx>
        <w:trPr>
          <w:trHeight w:val="520" w:hRule="atLeast"/>
        </w:trPr>
        <w:tc>
          <w:tcPr>
            <w:tcW w:w="1527" w:type="dxa"/>
            <w:vAlign w:val="center"/>
          </w:tcPr>
          <w:p w14:paraId="54FD78F0">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多等位基因</w:t>
            </w:r>
          </w:p>
        </w:tc>
        <w:tc>
          <w:tcPr>
            <w:tcW w:w="1387" w:type="dxa"/>
            <w:vAlign w:val="center"/>
          </w:tcPr>
          <w:p w14:paraId="1B1578EA">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细胞库</w:t>
            </w:r>
          </w:p>
        </w:tc>
        <w:tc>
          <w:tcPr>
            <w:tcW w:w="2174" w:type="dxa"/>
            <w:vAlign w:val="center"/>
          </w:tcPr>
          <w:p w14:paraId="21CC67CD">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匹配细胞系</w:t>
            </w:r>
          </w:p>
        </w:tc>
        <w:tc>
          <w:tcPr>
            <w:tcW w:w="1430" w:type="dxa"/>
            <w:vAlign w:val="center"/>
          </w:tcPr>
          <w:p w14:paraId="39B6DF31">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b/>
                <w:color w:val="000000"/>
                <w:kern w:val="0"/>
                <w:szCs w:val="22"/>
                <w:highlight w:val="none"/>
                <w14:ligatures w14:val="none"/>
              </w:rPr>
              <w:t>相似度</w:t>
            </w:r>
          </w:p>
        </w:tc>
        <w:tc>
          <w:tcPr>
            <w:tcW w:w="1606" w:type="dxa"/>
            <w:vAlign w:val="center"/>
          </w:tcPr>
          <w:p w14:paraId="379D2BB9">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ascii="微软雅黑" w:hAnsi="微软雅黑" w:eastAsia="微软雅黑" w:cs="微软雅黑"/>
                <w:b/>
                <w:color w:val="000000"/>
                <w:kern w:val="0"/>
                <w:szCs w:val="22"/>
                <w:highlight w:val="none"/>
                <w14:ligatures w14:val="none"/>
              </w:rPr>
              <w:t>匹配说明</w:t>
            </w:r>
          </w:p>
        </w:tc>
      </w:tr>
      <w:tr w14:paraId="1ECD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23" w:type="dxa"/>
            <w:bottom w:w="0" w:type="dxa"/>
            <w:right w:w="108" w:type="dxa"/>
          </w:tblCellMar>
        </w:tblPrEx>
        <w:trPr>
          <w:trHeight w:val="480" w:hRule="atLeast"/>
        </w:trPr>
        <w:tc>
          <w:tcPr>
            <w:tcW w:w="1527" w:type="dxa"/>
            <w:vAlign w:val="center"/>
          </w:tcPr>
          <w:p w14:paraId="47C0BCA6">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Times New Roman" w:hAnsi="Times New Roman" w:eastAsia="微软雅黑" w:cs="Times New Roman"/>
                <w:kern w:val="0"/>
                <w:szCs w:val="22"/>
                <w:highlight w:val="none"/>
                <w14:ligatures w14:val="none"/>
              </w:rPr>
              <w:t>无</w:t>
            </w:r>
          </w:p>
        </w:tc>
        <w:tc>
          <w:tcPr>
            <w:tcW w:w="1387" w:type="dxa"/>
            <w:vAlign w:val="center"/>
          </w:tcPr>
          <w:p w14:paraId="48121AAD">
            <w:pPr>
              <w:widowControl/>
              <w:spacing w:before="280" w:beforeAutospacing="1" w:after="280" w:afterAutospacing="1" w:line="240" w:lineRule="auto"/>
              <w:jc w:val="center"/>
              <w:rPr>
                <w:rFonts w:ascii="Times New Roman" w:hAnsi="Times New Roman" w:eastAsia="微软雅黑" w:cs="Times New Roman"/>
                <w:kern w:val="0"/>
                <w:szCs w:val="22"/>
                <w:highlight w:val="none"/>
                <w14:ligatures w14:val="none"/>
              </w:rPr>
            </w:pPr>
            <w:r>
              <w:rPr>
                <w:rFonts w:ascii="Times New Roman" w:hAnsi="Times New Roman" w:eastAsia="微软雅黑" w:cs="Times New Roman"/>
                <w:kern w:val="0"/>
                <w:sz w:val="24"/>
                <w:highlight w:val="none"/>
                <w14:ligatures w14:val="none"/>
              </w:rPr>
              <w:t>Cellosaurus</w:t>
            </w:r>
          </w:p>
        </w:tc>
        <w:tc>
          <w:tcPr>
            <w:tcW w:w="2174" w:type="dxa"/>
            <w:vAlign w:val="center"/>
          </w:tcPr>
          <w:p w14:paraId="799627AD">
            <w:pPr>
              <w:widowControl/>
              <w:spacing w:after="0" w:line="240" w:lineRule="auto"/>
              <w:jc w:val="center"/>
              <w:textAlignment w:val="center"/>
              <w:rPr>
                <w:rFonts w:ascii="Helvetica" w:hAnsi="Helvetica" w:eastAsia="Helvetica" w:cs="Helvetica"/>
                <w:color w:val="006EB7"/>
                <w:kern w:val="0"/>
                <w:szCs w:val="22"/>
                <w:highlight w:val="none"/>
                <w14:ligatures w14:val="none"/>
              </w:rPr>
            </w:pPr>
            <w:r>
              <w:rPr>
                <w:rFonts w:hint="eastAsia" w:ascii="Times New Roman" w:hAnsi="Times New Roman" w:eastAsia="微软雅黑" w:cs="Times New Roman"/>
                <w:kern w:val="0"/>
                <w:sz w:val="24"/>
                <w:highlight w:val="none"/>
                <w14:ligatures w14:val="none"/>
              </w:rPr>
              <w:t>SW480</w:t>
            </w:r>
          </w:p>
        </w:tc>
        <w:tc>
          <w:tcPr>
            <w:tcW w:w="1430" w:type="dxa"/>
            <w:vAlign w:val="center"/>
          </w:tcPr>
          <w:p w14:paraId="107D06F8">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kern w:val="0"/>
                <w:sz w:val="24"/>
                <w:highlight w:val="none"/>
                <w14:ligatures w14:val="none"/>
              </w:rPr>
              <w:t>100%</w:t>
            </w:r>
          </w:p>
        </w:tc>
        <w:tc>
          <w:tcPr>
            <w:tcW w:w="1606" w:type="dxa"/>
            <w:vAlign w:val="center"/>
          </w:tcPr>
          <w:p w14:paraId="278119F5">
            <w:pPr>
              <w:widowControl/>
              <w:spacing w:before="280" w:beforeAutospacing="1" w:after="280" w:afterAutospacing="1" w:line="240" w:lineRule="auto"/>
              <w:jc w:val="center"/>
              <w:rPr>
                <w:rFonts w:hint="eastAsia" w:ascii="微软雅黑" w:hAnsi="微软雅黑" w:eastAsia="微软雅黑" w:cs="微软雅黑"/>
                <w:kern w:val="0"/>
                <w:szCs w:val="22"/>
                <w:highlight w:val="none"/>
                <w14:ligatures w14:val="none"/>
              </w:rPr>
            </w:pPr>
            <w:r>
              <w:rPr>
                <w:rFonts w:hint="eastAsia" w:ascii="微软雅黑" w:hAnsi="微软雅黑" w:eastAsia="微软雅黑" w:cs="微软雅黑"/>
                <w:kern w:val="0"/>
                <w:sz w:val="24"/>
                <w:highlight w:val="none"/>
                <w14:ligatures w14:val="none"/>
              </w:rPr>
              <w:t>完全</w:t>
            </w:r>
            <w:r>
              <w:rPr>
                <w:rFonts w:ascii="微软雅黑" w:hAnsi="微软雅黑" w:eastAsia="微软雅黑" w:cs="微软雅黑"/>
                <w:kern w:val="0"/>
                <w:sz w:val="24"/>
                <w:highlight w:val="none"/>
                <w14:ligatures w14:val="none"/>
              </w:rPr>
              <w:t>匹配</w:t>
            </w:r>
          </w:p>
        </w:tc>
      </w:tr>
    </w:tbl>
    <w:tbl>
      <w:tblPr>
        <w:tblStyle w:val="44"/>
        <w:tblpPr w:leftFromText="180" w:rightFromText="180" w:vertAnchor="text" w:horzAnchor="margin" w:tblpY="1833"/>
        <w:tblW w:w="5010"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8" w:type="dxa"/>
          <w:bottom w:w="0" w:type="dxa"/>
          <w:right w:w="108" w:type="dxa"/>
        </w:tblCellMar>
      </w:tblPr>
      <w:tblGrid>
        <w:gridCol w:w="1569"/>
        <w:gridCol w:w="1650"/>
        <w:gridCol w:w="1699"/>
        <w:gridCol w:w="1780"/>
        <w:gridCol w:w="1841"/>
      </w:tblGrid>
      <w:tr w14:paraId="704111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restart"/>
            <w:tcBorders>
              <w:top w:val="single" w:color="404040" w:sz="4" w:space="0"/>
              <w:left w:val="single" w:color="404040" w:sz="4" w:space="0"/>
              <w:bottom w:val="single" w:color="404040" w:sz="4" w:space="0"/>
              <w:right w:val="single" w:color="404040" w:sz="4" w:space="0"/>
            </w:tcBorders>
            <w:vAlign w:val="center"/>
          </w:tcPr>
          <w:p w14:paraId="506ED78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Loci</w:t>
            </w:r>
          </w:p>
        </w:tc>
        <w:tc>
          <w:tcPr>
            <w:tcW w:w="1961" w:type="pct"/>
            <w:gridSpan w:val="2"/>
            <w:tcBorders>
              <w:top w:val="single" w:color="404040" w:sz="4" w:space="0"/>
              <w:left w:val="single" w:color="404040" w:sz="4" w:space="0"/>
              <w:bottom w:val="single" w:color="404040" w:sz="4" w:space="0"/>
              <w:right w:val="single" w:color="404040" w:sz="4" w:space="0"/>
            </w:tcBorders>
            <w:vAlign w:val="center"/>
          </w:tcPr>
          <w:p w14:paraId="474EAC6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送检细胞STR信息</w:t>
            </w:r>
          </w:p>
        </w:tc>
        <w:tc>
          <w:tcPr>
            <w:tcW w:w="2120" w:type="pct"/>
            <w:gridSpan w:val="2"/>
            <w:tcBorders>
              <w:top w:val="single" w:color="404040" w:sz="4" w:space="0"/>
              <w:left w:val="single" w:color="404040" w:sz="4" w:space="0"/>
              <w:bottom w:val="single" w:color="404040" w:sz="4" w:space="0"/>
              <w:right w:val="single" w:color="404040" w:sz="4" w:space="0"/>
            </w:tcBorders>
            <w:vAlign w:val="center"/>
          </w:tcPr>
          <w:p w14:paraId="303805B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细胞库细胞STR信息</w:t>
            </w:r>
          </w:p>
        </w:tc>
      </w:tr>
      <w:tr w14:paraId="18E5702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continue"/>
            <w:tcBorders>
              <w:top w:val="single" w:color="404040" w:sz="4" w:space="0"/>
              <w:left w:val="single" w:color="404040" w:sz="4" w:space="0"/>
              <w:bottom w:val="single" w:color="404040" w:sz="4" w:space="0"/>
              <w:right w:val="single" w:color="404040" w:sz="4" w:space="0"/>
            </w:tcBorders>
            <w:vAlign w:val="center"/>
          </w:tcPr>
          <w:p w14:paraId="0B3DE72A">
            <w:pPr>
              <w:widowControl/>
              <w:spacing w:after="0" w:line="240" w:lineRule="auto"/>
              <w:jc w:val="center"/>
              <w:rPr>
                <w:rFonts w:hint="eastAsia" w:ascii="宋体" w:hAnsi="宋体" w:eastAsia="宋体" w:cs="Times New Roman"/>
                <w:kern w:val="0"/>
                <w:sz w:val="21"/>
                <w:szCs w:val="21"/>
                <w14:ligatures w14:val="none"/>
              </w:rPr>
            </w:pPr>
          </w:p>
        </w:tc>
        <w:tc>
          <w:tcPr>
            <w:tcW w:w="1961" w:type="pct"/>
            <w:gridSpan w:val="2"/>
            <w:tcBorders>
              <w:top w:val="single" w:color="404040" w:sz="4" w:space="0"/>
              <w:left w:val="single" w:color="404040" w:sz="4" w:space="0"/>
              <w:bottom w:val="single" w:color="404040" w:sz="4" w:space="0"/>
              <w:right w:val="single" w:color="404040" w:sz="4" w:space="0"/>
            </w:tcBorders>
            <w:vAlign w:val="center"/>
          </w:tcPr>
          <w:p w14:paraId="60D9DFB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样品编号：M</w:t>
            </w:r>
          </w:p>
        </w:tc>
        <w:tc>
          <w:tcPr>
            <w:tcW w:w="2120" w:type="pct"/>
            <w:gridSpan w:val="2"/>
            <w:tcBorders>
              <w:top w:val="single" w:color="404040" w:sz="4" w:space="0"/>
              <w:left w:val="single" w:color="404040" w:sz="4" w:space="0"/>
              <w:bottom w:val="single" w:color="404040" w:sz="4" w:space="0"/>
              <w:right w:val="single" w:color="404040" w:sz="4" w:space="0"/>
            </w:tcBorders>
            <w:vAlign w:val="center"/>
          </w:tcPr>
          <w:p w14:paraId="2167744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细胞库细胞名：SW480</w:t>
            </w:r>
          </w:p>
        </w:tc>
      </w:tr>
      <w:tr w14:paraId="7A091AB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vMerge w:val="continue"/>
            <w:tcBorders>
              <w:top w:val="single" w:color="404040" w:sz="4" w:space="0"/>
              <w:left w:val="single" w:color="404040" w:sz="4" w:space="0"/>
              <w:bottom w:val="single" w:color="404040" w:sz="4" w:space="0"/>
              <w:right w:val="single" w:color="404040" w:sz="4" w:space="0"/>
            </w:tcBorders>
            <w:vAlign w:val="center"/>
          </w:tcPr>
          <w:p w14:paraId="350BB11A">
            <w:pPr>
              <w:widowControl/>
              <w:spacing w:after="0" w:line="240" w:lineRule="auto"/>
              <w:jc w:val="center"/>
              <w:rPr>
                <w:rFonts w:hint="eastAsia" w:ascii="宋体" w:hAnsi="宋体" w:eastAsia="宋体" w:cs="Times New Roman"/>
                <w:kern w:val="0"/>
                <w:sz w:val="21"/>
                <w:szCs w:val="21"/>
                <w14:ligatures w14:val="none"/>
              </w:rPr>
            </w:pPr>
          </w:p>
        </w:tc>
        <w:tc>
          <w:tcPr>
            <w:tcW w:w="966" w:type="pct"/>
            <w:tcBorders>
              <w:top w:val="single" w:color="404040" w:sz="4" w:space="0"/>
              <w:left w:val="single" w:color="404040" w:sz="4" w:space="0"/>
              <w:bottom w:val="single" w:color="404040" w:sz="4" w:space="0"/>
              <w:right w:val="single" w:color="404040" w:sz="4" w:space="0"/>
            </w:tcBorders>
            <w:vAlign w:val="center"/>
          </w:tcPr>
          <w:p w14:paraId="1C9609B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Allele1</w:t>
            </w:r>
          </w:p>
        </w:tc>
        <w:tc>
          <w:tcPr>
            <w:tcW w:w="995" w:type="pct"/>
            <w:tcBorders>
              <w:top w:val="single" w:color="404040" w:sz="4" w:space="0"/>
              <w:left w:val="single" w:color="404040" w:sz="4" w:space="0"/>
              <w:bottom w:val="single" w:color="404040" w:sz="4" w:space="0"/>
              <w:right w:val="single" w:color="404040" w:sz="4" w:space="0"/>
            </w:tcBorders>
            <w:vAlign w:val="center"/>
          </w:tcPr>
          <w:p w14:paraId="4300629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Allele2</w:t>
            </w:r>
          </w:p>
        </w:tc>
        <w:tc>
          <w:tcPr>
            <w:tcW w:w="1042" w:type="pct"/>
            <w:tcBorders>
              <w:top w:val="single" w:color="404040" w:sz="4" w:space="0"/>
              <w:left w:val="single" w:color="404040" w:sz="4" w:space="0"/>
              <w:bottom w:val="single" w:color="404040" w:sz="4" w:space="0"/>
              <w:right w:val="single" w:color="auto" w:sz="4" w:space="0"/>
            </w:tcBorders>
            <w:vAlign w:val="center"/>
          </w:tcPr>
          <w:p w14:paraId="00D306E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Allele1</w:t>
            </w:r>
          </w:p>
        </w:tc>
        <w:tc>
          <w:tcPr>
            <w:tcW w:w="1078" w:type="pct"/>
            <w:tcBorders>
              <w:top w:val="single" w:color="404040" w:sz="4" w:space="0"/>
              <w:left w:val="single" w:color="auto" w:sz="4" w:space="0"/>
              <w:bottom w:val="single" w:color="404040" w:sz="4" w:space="0"/>
              <w:right w:val="single" w:color="404040" w:sz="4" w:space="0"/>
            </w:tcBorders>
            <w:vAlign w:val="center"/>
          </w:tcPr>
          <w:p w14:paraId="3ABCDA2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Allele2</w:t>
            </w:r>
          </w:p>
        </w:tc>
      </w:tr>
      <w:tr w14:paraId="151CA1A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A54193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D5S818</w:t>
            </w:r>
          </w:p>
        </w:tc>
        <w:tc>
          <w:tcPr>
            <w:tcW w:w="966" w:type="pct"/>
            <w:tcBorders>
              <w:top w:val="single" w:color="404040" w:sz="4" w:space="0"/>
              <w:left w:val="single" w:color="404040" w:sz="4" w:space="0"/>
              <w:bottom w:val="single" w:color="404040" w:sz="4" w:space="0"/>
              <w:right w:val="single" w:color="404040" w:sz="4" w:space="0"/>
            </w:tcBorders>
            <w:vAlign w:val="center"/>
          </w:tcPr>
          <w:p w14:paraId="1758D26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458CE82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49B2EA1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6FCC8BD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0EBB653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67142B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D13S317</w:t>
            </w:r>
          </w:p>
        </w:tc>
        <w:tc>
          <w:tcPr>
            <w:tcW w:w="966" w:type="pct"/>
            <w:tcBorders>
              <w:top w:val="single" w:color="404040" w:sz="4" w:space="0"/>
              <w:left w:val="single" w:color="404040" w:sz="4" w:space="0"/>
              <w:bottom w:val="single" w:color="404040" w:sz="4" w:space="0"/>
              <w:right w:val="single" w:color="404040" w:sz="4" w:space="0"/>
            </w:tcBorders>
            <w:vAlign w:val="center"/>
          </w:tcPr>
          <w:p w14:paraId="4219BDF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995" w:type="pct"/>
            <w:tcBorders>
              <w:top w:val="single" w:color="404040" w:sz="4" w:space="0"/>
              <w:left w:val="single" w:color="404040" w:sz="4" w:space="0"/>
              <w:bottom w:val="single" w:color="404040" w:sz="4" w:space="0"/>
              <w:right w:val="single" w:color="404040" w:sz="4" w:space="0"/>
            </w:tcBorders>
            <w:vAlign w:val="center"/>
          </w:tcPr>
          <w:p w14:paraId="7099E29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1042" w:type="pct"/>
            <w:tcBorders>
              <w:top w:val="single" w:color="404040" w:sz="4" w:space="0"/>
              <w:left w:val="single" w:color="404040" w:sz="4" w:space="0"/>
              <w:bottom w:val="single" w:color="404040" w:sz="4" w:space="0"/>
              <w:right w:val="single" w:color="auto" w:sz="4" w:space="0"/>
            </w:tcBorders>
            <w:vAlign w:val="center"/>
          </w:tcPr>
          <w:p w14:paraId="5A9641E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c>
          <w:tcPr>
            <w:tcW w:w="1078" w:type="pct"/>
            <w:tcBorders>
              <w:top w:val="single" w:color="404040" w:sz="4" w:space="0"/>
              <w:left w:val="single" w:color="auto" w:sz="4" w:space="0"/>
              <w:bottom w:val="single" w:color="404040" w:sz="4" w:space="0"/>
              <w:right w:val="single" w:color="404040" w:sz="4" w:space="0"/>
            </w:tcBorders>
            <w:vAlign w:val="center"/>
          </w:tcPr>
          <w:p w14:paraId="516AF16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12</w:t>
            </w:r>
          </w:p>
        </w:tc>
      </w:tr>
      <w:tr w14:paraId="2139EB9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625D6C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D7S820</w:t>
            </w:r>
          </w:p>
        </w:tc>
        <w:tc>
          <w:tcPr>
            <w:tcW w:w="966" w:type="pct"/>
            <w:tcBorders>
              <w:top w:val="single" w:color="404040" w:sz="4" w:space="0"/>
              <w:left w:val="single" w:color="404040" w:sz="4" w:space="0"/>
              <w:bottom w:val="single" w:color="404040" w:sz="4" w:space="0"/>
              <w:right w:val="single" w:color="404040" w:sz="4" w:space="0"/>
            </w:tcBorders>
            <w:vAlign w:val="center"/>
          </w:tcPr>
          <w:p w14:paraId="34AE53A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995" w:type="pct"/>
            <w:tcBorders>
              <w:top w:val="single" w:color="404040" w:sz="4" w:space="0"/>
              <w:left w:val="single" w:color="404040" w:sz="4" w:space="0"/>
              <w:bottom w:val="single" w:color="404040" w:sz="4" w:space="0"/>
              <w:right w:val="single" w:color="404040" w:sz="4" w:space="0"/>
            </w:tcBorders>
            <w:vAlign w:val="center"/>
          </w:tcPr>
          <w:p w14:paraId="1ECD38E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42" w:type="pct"/>
            <w:tcBorders>
              <w:top w:val="single" w:color="404040" w:sz="4" w:space="0"/>
              <w:left w:val="single" w:color="404040" w:sz="4" w:space="0"/>
              <w:bottom w:val="single" w:color="404040" w:sz="4" w:space="0"/>
              <w:right w:val="single" w:color="auto" w:sz="4" w:space="0"/>
            </w:tcBorders>
            <w:vAlign w:val="center"/>
          </w:tcPr>
          <w:p w14:paraId="420D48C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78" w:type="pct"/>
            <w:tcBorders>
              <w:top w:val="single" w:color="404040" w:sz="4" w:space="0"/>
              <w:left w:val="single" w:color="auto" w:sz="4" w:space="0"/>
              <w:bottom w:val="single" w:color="404040" w:sz="4" w:space="0"/>
              <w:right w:val="single" w:color="404040" w:sz="4" w:space="0"/>
            </w:tcBorders>
            <w:vAlign w:val="center"/>
          </w:tcPr>
          <w:p w14:paraId="12AD664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r>
      <w:tr w14:paraId="31E4D0E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610D1D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D16S539</w:t>
            </w:r>
          </w:p>
        </w:tc>
        <w:tc>
          <w:tcPr>
            <w:tcW w:w="966" w:type="pct"/>
            <w:tcBorders>
              <w:top w:val="single" w:color="404040" w:sz="4" w:space="0"/>
              <w:left w:val="single" w:color="404040" w:sz="4" w:space="0"/>
              <w:bottom w:val="single" w:color="404040" w:sz="4" w:space="0"/>
              <w:right w:val="single" w:color="404040" w:sz="4" w:space="0"/>
            </w:tcBorders>
            <w:vAlign w:val="center"/>
          </w:tcPr>
          <w:p w14:paraId="0E4FA70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20C6D98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07932BA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33FDFD2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79E4D4E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322FEA3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vWA</w:t>
            </w:r>
          </w:p>
        </w:tc>
        <w:tc>
          <w:tcPr>
            <w:tcW w:w="966" w:type="pct"/>
            <w:tcBorders>
              <w:top w:val="single" w:color="404040" w:sz="4" w:space="0"/>
              <w:left w:val="single" w:color="404040" w:sz="4" w:space="0"/>
              <w:bottom w:val="single" w:color="404040" w:sz="4" w:space="0"/>
              <w:right w:val="single" w:color="404040" w:sz="4" w:space="0"/>
            </w:tcBorders>
            <w:vAlign w:val="center"/>
          </w:tcPr>
          <w:p w14:paraId="7338285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995" w:type="pct"/>
            <w:tcBorders>
              <w:top w:val="single" w:color="404040" w:sz="4" w:space="0"/>
              <w:left w:val="single" w:color="404040" w:sz="4" w:space="0"/>
              <w:bottom w:val="single" w:color="404040" w:sz="4" w:space="0"/>
              <w:right w:val="single" w:color="404040" w:sz="4" w:space="0"/>
            </w:tcBorders>
            <w:vAlign w:val="center"/>
          </w:tcPr>
          <w:p w14:paraId="4C6FDFC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1042" w:type="pct"/>
            <w:tcBorders>
              <w:top w:val="single" w:color="404040" w:sz="4" w:space="0"/>
              <w:left w:val="single" w:color="404040" w:sz="4" w:space="0"/>
              <w:bottom w:val="single" w:color="404040" w:sz="4" w:space="0"/>
              <w:right w:val="single" w:color="auto" w:sz="4" w:space="0"/>
            </w:tcBorders>
            <w:vAlign w:val="center"/>
          </w:tcPr>
          <w:p w14:paraId="7AE8B73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c>
          <w:tcPr>
            <w:tcW w:w="1078" w:type="pct"/>
            <w:tcBorders>
              <w:top w:val="single" w:color="404040" w:sz="4" w:space="0"/>
              <w:left w:val="single" w:color="auto" w:sz="4" w:space="0"/>
              <w:bottom w:val="single" w:color="404040" w:sz="4" w:space="0"/>
              <w:right w:val="single" w:color="404040" w:sz="4" w:space="0"/>
            </w:tcBorders>
            <w:vAlign w:val="center"/>
          </w:tcPr>
          <w:p w14:paraId="4CC9EF0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16</w:t>
            </w:r>
          </w:p>
        </w:tc>
      </w:tr>
      <w:tr w14:paraId="5993BA0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5AC8CCE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TH01</w:t>
            </w:r>
          </w:p>
        </w:tc>
        <w:tc>
          <w:tcPr>
            <w:tcW w:w="966" w:type="pct"/>
            <w:tcBorders>
              <w:top w:val="single" w:color="404040" w:sz="4" w:space="0"/>
              <w:left w:val="single" w:color="404040" w:sz="4" w:space="0"/>
              <w:bottom w:val="single" w:color="404040" w:sz="4" w:space="0"/>
              <w:right w:val="single" w:color="404040" w:sz="4" w:space="0"/>
            </w:tcBorders>
            <w:vAlign w:val="center"/>
          </w:tcPr>
          <w:p w14:paraId="6469A73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995" w:type="pct"/>
            <w:tcBorders>
              <w:top w:val="single" w:color="404040" w:sz="4" w:space="0"/>
              <w:left w:val="single" w:color="404040" w:sz="4" w:space="0"/>
              <w:bottom w:val="single" w:color="404040" w:sz="4" w:space="0"/>
              <w:right w:val="single" w:color="404040" w:sz="4" w:space="0"/>
            </w:tcBorders>
            <w:vAlign w:val="center"/>
          </w:tcPr>
          <w:p w14:paraId="4441A98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42" w:type="pct"/>
            <w:tcBorders>
              <w:top w:val="single" w:color="404040" w:sz="4" w:space="0"/>
              <w:left w:val="single" w:color="404040" w:sz="4" w:space="0"/>
              <w:bottom w:val="single" w:color="404040" w:sz="4" w:space="0"/>
              <w:right w:val="single" w:color="auto" w:sz="4" w:space="0"/>
            </w:tcBorders>
            <w:vAlign w:val="center"/>
          </w:tcPr>
          <w:p w14:paraId="261155C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c>
          <w:tcPr>
            <w:tcW w:w="1078" w:type="pct"/>
            <w:tcBorders>
              <w:top w:val="single" w:color="404040" w:sz="4" w:space="0"/>
              <w:left w:val="single" w:color="auto" w:sz="4" w:space="0"/>
              <w:bottom w:val="single" w:color="404040" w:sz="4" w:space="0"/>
              <w:right w:val="single" w:color="404040" w:sz="4" w:space="0"/>
            </w:tcBorders>
            <w:vAlign w:val="center"/>
          </w:tcPr>
          <w:p w14:paraId="0214231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8</w:t>
            </w:r>
          </w:p>
        </w:tc>
      </w:tr>
      <w:tr w14:paraId="6F6AB74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13542B4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TPOX</w:t>
            </w:r>
          </w:p>
        </w:tc>
        <w:tc>
          <w:tcPr>
            <w:tcW w:w="966" w:type="pct"/>
            <w:tcBorders>
              <w:top w:val="single" w:color="404040" w:sz="4" w:space="0"/>
              <w:left w:val="single" w:color="404040" w:sz="4" w:space="0"/>
              <w:bottom w:val="single" w:color="404040" w:sz="4" w:space="0"/>
              <w:right w:val="single" w:color="404040" w:sz="4" w:space="0"/>
            </w:tcBorders>
            <w:vAlign w:val="center"/>
          </w:tcPr>
          <w:p w14:paraId="1F0D555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995" w:type="pct"/>
            <w:tcBorders>
              <w:top w:val="single" w:color="404040" w:sz="4" w:space="0"/>
              <w:left w:val="single" w:color="404040" w:sz="4" w:space="0"/>
              <w:bottom w:val="single" w:color="404040" w:sz="4" w:space="0"/>
              <w:right w:val="single" w:color="404040" w:sz="4" w:space="0"/>
            </w:tcBorders>
            <w:vAlign w:val="center"/>
          </w:tcPr>
          <w:p w14:paraId="5D90429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1042" w:type="pct"/>
            <w:tcBorders>
              <w:top w:val="single" w:color="404040" w:sz="4" w:space="0"/>
              <w:left w:val="single" w:color="404040" w:sz="4" w:space="0"/>
              <w:bottom w:val="single" w:color="404040" w:sz="4" w:space="0"/>
              <w:right w:val="single" w:color="auto" w:sz="4" w:space="0"/>
            </w:tcBorders>
            <w:vAlign w:val="center"/>
          </w:tcPr>
          <w:p w14:paraId="0258C14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c>
          <w:tcPr>
            <w:tcW w:w="1078" w:type="pct"/>
            <w:tcBorders>
              <w:top w:val="single" w:color="404040" w:sz="4" w:space="0"/>
              <w:left w:val="single" w:color="auto" w:sz="4" w:space="0"/>
              <w:bottom w:val="single" w:color="404040" w:sz="4" w:space="0"/>
              <w:right w:val="single" w:color="404040" w:sz="4" w:space="0"/>
            </w:tcBorders>
            <w:vAlign w:val="center"/>
          </w:tcPr>
          <w:p w14:paraId="21FC844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11</w:t>
            </w:r>
          </w:p>
        </w:tc>
      </w:tr>
      <w:tr w14:paraId="27683C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6C065E2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CSF1PO</w:t>
            </w:r>
          </w:p>
        </w:tc>
        <w:tc>
          <w:tcPr>
            <w:tcW w:w="966" w:type="pct"/>
            <w:tcBorders>
              <w:top w:val="single" w:color="404040" w:sz="4" w:space="0"/>
              <w:left w:val="single" w:color="404040" w:sz="4" w:space="0"/>
              <w:bottom w:val="single" w:color="404040" w:sz="4" w:space="0"/>
              <w:right w:val="single" w:color="404040" w:sz="4" w:space="0"/>
            </w:tcBorders>
            <w:vAlign w:val="center"/>
          </w:tcPr>
          <w:p w14:paraId="4B57217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8AA97B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14</w:t>
            </w:r>
          </w:p>
        </w:tc>
        <w:tc>
          <w:tcPr>
            <w:tcW w:w="1042" w:type="pct"/>
            <w:tcBorders>
              <w:top w:val="single" w:color="404040" w:sz="4" w:space="0"/>
              <w:left w:val="single" w:color="404040" w:sz="4" w:space="0"/>
              <w:bottom w:val="single" w:color="404040" w:sz="4" w:space="0"/>
              <w:right w:val="single" w:color="auto" w:sz="4" w:space="0"/>
            </w:tcBorders>
            <w:vAlign w:val="center"/>
          </w:tcPr>
          <w:p w14:paraId="738BDD2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7B0743D">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14</w:t>
            </w:r>
          </w:p>
        </w:tc>
      </w:tr>
      <w:tr w14:paraId="10FFF02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64DB3E6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AMEL</w:t>
            </w:r>
          </w:p>
        </w:tc>
        <w:tc>
          <w:tcPr>
            <w:tcW w:w="966" w:type="pct"/>
            <w:tcBorders>
              <w:top w:val="single" w:color="404040" w:sz="4" w:space="0"/>
              <w:left w:val="single" w:color="404040" w:sz="4" w:space="0"/>
              <w:bottom w:val="single" w:color="404040" w:sz="4" w:space="0"/>
              <w:right w:val="single" w:color="404040" w:sz="4" w:space="0"/>
            </w:tcBorders>
            <w:vAlign w:val="center"/>
          </w:tcPr>
          <w:p w14:paraId="49F6049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995" w:type="pct"/>
            <w:tcBorders>
              <w:top w:val="single" w:color="404040" w:sz="4" w:space="0"/>
              <w:left w:val="single" w:color="404040" w:sz="4" w:space="0"/>
              <w:bottom w:val="single" w:color="404040" w:sz="4" w:space="0"/>
              <w:right w:val="single" w:color="404040" w:sz="4" w:space="0"/>
            </w:tcBorders>
            <w:vAlign w:val="center"/>
          </w:tcPr>
          <w:p w14:paraId="7E1B8C9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1042" w:type="pct"/>
            <w:tcBorders>
              <w:top w:val="single" w:color="404040" w:sz="4" w:space="0"/>
              <w:left w:val="single" w:color="404040" w:sz="4" w:space="0"/>
              <w:bottom w:val="single" w:color="404040" w:sz="4" w:space="0"/>
              <w:right w:val="single" w:color="auto" w:sz="4" w:space="0"/>
            </w:tcBorders>
            <w:vAlign w:val="center"/>
          </w:tcPr>
          <w:p w14:paraId="01EC83D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c>
          <w:tcPr>
            <w:tcW w:w="1078" w:type="pct"/>
            <w:tcBorders>
              <w:top w:val="single" w:color="404040" w:sz="4" w:space="0"/>
              <w:left w:val="single" w:color="auto" w:sz="4" w:space="0"/>
              <w:bottom w:val="single" w:color="404040" w:sz="4" w:space="0"/>
              <w:right w:val="single" w:color="404040" w:sz="4" w:space="0"/>
            </w:tcBorders>
            <w:vAlign w:val="center"/>
          </w:tcPr>
          <w:p w14:paraId="698AE85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X</w:t>
            </w:r>
          </w:p>
        </w:tc>
      </w:tr>
      <w:tr w14:paraId="67E27F7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5ADE36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D3S1358</w:t>
            </w:r>
          </w:p>
        </w:tc>
        <w:tc>
          <w:tcPr>
            <w:tcW w:w="966" w:type="pct"/>
            <w:tcBorders>
              <w:top w:val="single" w:color="404040" w:sz="4" w:space="0"/>
              <w:left w:val="single" w:color="404040" w:sz="4" w:space="0"/>
              <w:bottom w:val="single" w:color="404040" w:sz="4" w:space="0"/>
              <w:right w:val="single" w:color="404040" w:sz="4" w:space="0"/>
            </w:tcBorders>
            <w:vAlign w:val="center"/>
          </w:tcPr>
          <w:p w14:paraId="3AF91C2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995" w:type="pct"/>
            <w:tcBorders>
              <w:top w:val="single" w:color="404040" w:sz="4" w:space="0"/>
              <w:left w:val="single" w:color="404040" w:sz="4" w:space="0"/>
              <w:bottom w:val="single" w:color="404040" w:sz="4" w:space="0"/>
              <w:right w:val="single" w:color="404040" w:sz="4" w:space="0"/>
            </w:tcBorders>
            <w:vAlign w:val="center"/>
          </w:tcPr>
          <w:p w14:paraId="01BA50E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42" w:type="pct"/>
            <w:tcBorders>
              <w:top w:val="single" w:color="404040" w:sz="4" w:space="0"/>
              <w:left w:val="single" w:color="404040" w:sz="4" w:space="0"/>
              <w:bottom w:val="single" w:color="404040" w:sz="4" w:space="0"/>
              <w:right w:val="single" w:color="auto" w:sz="4" w:space="0"/>
            </w:tcBorders>
            <w:vAlign w:val="center"/>
          </w:tcPr>
          <w:p w14:paraId="63BD5E2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78" w:type="pct"/>
            <w:tcBorders>
              <w:top w:val="single" w:color="404040" w:sz="4" w:space="0"/>
              <w:left w:val="single" w:color="auto" w:sz="4" w:space="0"/>
              <w:bottom w:val="single" w:color="404040" w:sz="4" w:space="0"/>
              <w:right w:val="single" w:color="404040" w:sz="4" w:space="0"/>
            </w:tcBorders>
            <w:vAlign w:val="center"/>
          </w:tcPr>
          <w:p w14:paraId="72D170D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r>
      <w:tr w14:paraId="3AF9704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7741854B">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D21S11</w:t>
            </w:r>
          </w:p>
        </w:tc>
        <w:tc>
          <w:tcPr>
            <w:tcW w:w="966" w:type="pct"/>
            <w:tcBorders>
              <w:top w:val="single" w:color="404040" w:sz="4" w:space="0"/>
              <w:left w:val="single" w:color="404040" w:sz="4" w:space="0"/>
              <w:bottom w:val="single" w:color="404040" w:sz="4" w:space="0"/>
              <w:right w:val="single" w:color="404040" w:sz="4" w:space="0"/>
            </w:tcBorders>
            <w:vAlign w:val="center"/>
          </w:tcPr>
          <w:p w14:paraId="27A398D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w:t>
            </w:r>
          </w:p>
        </w:tc>
        <w:tc>
          <w:tcPr>
            <w:tcW w:w="995" w:type="pct"/>
            <w:tcBorders>
              <w:top w:val="single" w:color="404040" w:sz="4" w:space="0"/>
              <w:left w:val="single" w:color="404040" w:sz="4" w:space="0"/>
              <w:bottom w:val="single" w:color="404040" w:sz="4" w:space="0"/>
              <w:right w:val="single" w:color="404040" w:sz="4" w:space="0"/>
            </w:tcBorders>
            <w:vAlign w:val="center"/>
          </w:tcPr>
          <w:p w14:paraId="4A2C319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30.2</w:t>
            </w:r>
          </w:p>
        </w:tc>
        <w:tc>
          <w:tcPr>
            <w:tcW w:w="1042" w:type="pct"/>
            <w:tcBorders>
              <w:top w:val="single" w:color="404040" w:sz="4" w:space="0"/>
              <w:left w:val="single" w:color="404040" w:sz="4" w:space="0"/>
              <w:bottom w:val="single" w:color="404040" w:sz="4" w:space="0"/>
              <w:right w:val="single" w:color="auto" w:sz="4" w:space="0"/>
            </w:tcBorders>
            <w:vAlign w:val="center"/>
          </w:tcPr>
          <w:p w14:paraId="1C788AB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w:t>
            </w:r>
          </w:p>
        </w:tc>
        <w:tc>
          <w:tcPr>
            <w:tcW w:w="1078" w:type="pct"/>
            <w:tcBorders>
              <w:top w:val="single" w:color="404040" w:sz="4" w:space="0"/>
              <w:left w:val="single" w:color="auto" w:sz="4" w:space="0"/>
              <w:bottom w:val="single" w:color="404040" w:sz="4" w:space="0"/>
              <w:right w:val="single" w:color="404040" w:sz="4" w:space="0"/>
            </w:tcBorders>
            <w:vAlign w:val="center"/>
          </w:tcPr>
          <w:p w14:paraId="576E3BD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30.2</w:t>
            </w:r>
          </w:p>
        </w:tc>
      </w:tr>
      <w:tr w14:paraId="271A179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E554C3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D18S51</w:t>
            </w:r>
          </w:p>
        </w:tc>
        <w:tc>
          <w:tcPr>
            <w:tcW w:w="966" w:type="pct"/>
            <w:tcBorders>
              <w:top w:val="single" w:color="404040" w:sz="4" w:space="0"/>
              <w:left w:val="single" w:color="404040" w:sz="4" w:space="0"/>
              <w:bottom w:val="single" w:color="404040" w:sz="4" w:space="0"/>
              <w:right w:val="single" w:color="404040" w:sz="4" w:space="0"/>
            </w:tcBorders>
            <w:vAlign w:val="center"/>
          </w:tcPr>
          <w:p w14:paraId="79593CC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F7CBE7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1FA3829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ED4DC7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3C837E0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2F07162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Penta E</w:t>
            </w:r>
          </w:p>
        </w:tc>
        <w:tc>
          <w:tcPr>
            <w:tcW w:w="966" w:type="pct"/>
            <w:tcBorders>
              <w:top w:val="single" w:color="404040" w:sz="4" w:space="0"/>
              <w:left w:val="single" w:color="404040" w:sz="4" w:space="0"/>
              <w:bottom w:val="single" w:color="404040" w:sz="4" w:space="0"/>
              <w:right w:val="single" w:color="404040" w:sz="4" w:space="0"/>
            </w:tcBorders>
            <w:vAlign w:val="center"/>
          </w:tcPr>
          <w:p w14:paraId="3DEAA9E5">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995" w:type="pct"/>
            <w:tcBorders>
              <w:top w:val="single" w:color="404040" w:sz="4" w:space="0"/>
              <w:left w:val="single" w:color="404040" w:sz="4" w:space="0"/>
              <w:bottom w:val="single" w:color="404040" w:sz="4" w:space="0"/>
              <w:right w:val="single" w:color="404040" w:sz="4" w:space="0"/>
            </w:tcBorders>
            <w:vAlign w:val="center"/>
          </w:tcPr>
          <w:p w14:paraId="6E847F1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1042" w:type="pct"/>
            <w:tcBorders>
              <w:top w:val="single" w:color="404040" w:sz="4" w:space="0"/>
              <w:left w:val="single" w:color="404040" w:sz="4" w:space="0"/>
              <w:bottom w:val="single" w:color="404040" w:sz="4" w:space="0"/>
              <w:right w:val="single" w:color="auto" w:sz="4" w:space="0"/>
            </w:tcBorders>
            <w:vAlign w:val="center"/>
          </w:tcPr>
          <w:p w14:paraId="6C0CB1C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c>
          <w:tcPr>
            <w:tcW w:w="1078" w:type="pct"/>
            <w:tcBorders>
              <w:top w:val="single" w:color="404040" w:sz="4" w:space="0"/>
              <w:left w:val="single" w:color="auto" w:sz="4" w:space="0"/>
              <w:bottom w:val="single" w:color="404040" w:sz="4" w:space="0"/>
              <w:right w:val="single" w:color="404040" w:sz="4" w:space="0"/>
            </w:tcBorders>
            <w:vAlign w:val="center"/>
          </w:tcPr>
          <w:p w14:paraId="3E0E0FD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10</w:t>
            </w:r>
          </w:p>
        </w:tc>
      </w:tr>
      <w:tr w14:paraId="2BBFA54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1B85DBB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Penta D</w:t>
            </w:r>
          </w:p>
        </w:tc>
        <w:tc>
          <w:tcPr>
            <w:tcW w:w="966" w:type="pct"/>
            <w:tcBorders>
              <w:top w:val="single" w:color="404040" w:sz="4" w:space="0"/>
              <w:left w:val="single" w:color="404040" w:sz="4" w:space="0"/>
              <w:bottom w:val="single" w:color="404040" w:sz="4" w:space="0"/>
              <w:right w:val="single" w:color="404040" w:sz="4" w:space="0"/>
            </w:tcBorders>
            <w:vAlign w:val="center"/>
          </w:tcPr>
          <w:p w14:paraId="794A8571">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9</w:t>
            </w:r>
          </w:p>
        </w:tc>
        <w:tc>
          <w:tcPr>
            <w:tcW w:w="995" w:type="pct"/>
            <w:tcBorders>
              <w:top w:val="single" w:color="404040" w:sz="4" w:space="0"/>
              <w:left w:val="single" w:color="404040" w:sz="4" w:space="0"/>
              <w:bottom w:val="single" w:color="404040" w:sz="4" w:space="0"/>
              <w:right w:val="single" w:color="404040" w:sz="4" w:space="0"/>
            </w:tcBorders>
            <w:vAlign w:val="center"/>
          </w:tcPr>
          <w:p w14:paraId="3AEE465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c>
          <w:tcPr>
            <w:tcW w:w="1042" w:type="pct"/>
            <w:tcBorders>
              <w:top w:val="single" w:color="404040" w:sz="4" w:space="0"/>
              <w:left w:val="single" w:color="404040" w:sz="4" w:space="0"/>
              <w:bottom w:val="single" w:color="404040" w:sz="4" w:space="0"/>
              <w:right w:val="single" w:color="auto" w:sz="4" w:space="0"/>
            </w:tcBorders>
            <w:vAlign w:val="center"/>
          </w:tcPr>
          <w:p w14:paraId="620CA4C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9</w:t>
            </w:r>
          </w:p>
        </w:tc>
        <w:tc>
          <w:tcPr>
            <w:tcW w:w="1078" w:type="pct"/>
            <w:tcBorders>
              <w:top w:val="single" w:color="404040" w:sz="4" w:space="0"/>
              <w:left w:val="single" w:color="auto" w:sz="4" w:space="0"/>
              <w:bottom w:val="single" w:color="404040" w:sz="4" w:space="0"/>
              <w:right w:val="single" w:color="404040" w:sz="4" w:space="0"/>
            </w:tcBorders>
            <w:vAlign w:val="center"/>
          </w:tcPr>
          <w:p w14:paraId="1A1B7E0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15</w:t>
            </w:r>
          </w:p>
        </w:tc>
      </w:tr>
      <w:tr w14:paraId="2143B92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72350FA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D8S1179</w:t>
            </w:r>
          </w:p>
        </w:tc>
        <w:tc>
          <w:tcPr>
            <w:tcW w:w="966" w:type="pct"/>
            <w:tcBorders>
              <w:top w:val="single" w:color="404040" w:sz="4" w:space="0"/>
              <w:left w:val="single" w:color="404040" w:sz="4" w:space="0"/>
              <w:bottom w:val="single" w:color="404040" w:sz="4" w:space="0"/>
              <w:right w:val="single" w:color="404040" w:sz="4" w:space="0"/>
            </w:tcBorders>
            <w:vAlign w:val="center"/>
          </w:tcPr>
          <w:p w14:paraId="78A65899">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20A1EB2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7EC81874">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5D5F04B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5955C82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3E23694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FGA</w:t>
            </w:r>
          </w:p>
        </w:tc>
        <w:tc>
          <w:tcPr>
            <w:tcW w:w="966" w:type="pct"/>
            <w:tcBorders>
              <w:top w:val="single" w:color="404040" w:sz="4" w:space="0"/>
              <w:left w:val="single" w:color="404040" w:sz="4" w:space="0"/>
              <w:bottom w:val="single" w:color="404040" w:sz="4" w:space="0"/>
              <w:right w:val="single" w:color="404040" w:sz="4" w:space="0"/>
            </w:tcBorders>
            <w:vAlign w:val="center"/>
          </w:tcPr>
          <w:p w14:paraId="6F8BC88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995" w:type="pct"/>
            <w:tcBorders>
              <w:top w:val="single" w:color="404040" w:sz="4" w:space="0"/>
              <w:left w:val="single" w:color="404040" w:sz="4" w:space="0"/>
              <w:bottom w:val="single" w:color="404040" w:sz="4" w:space="0"/>
              <w:right w:val="single" w:color="404040" w:sz="4" w:space="0"/>
            </w:tcBorders>
            <w:vAlign w:val="center"/>
          </w:tcPr>
          <w:p w14:paraId="6097B74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42" w:type="pct"/>
            <w:tcBorders>
              <w:top w:val="single" w:color="404040" w:sz="4" w:space="0"/>
              <w:left w:val="single" w:color="404040" w:sz="4" w:space="0"/>
              <w:bottom w:val="single" w:color="404040" w:sz="4" w:space="0"/>
              <w:right w:val="single" w:color="auto" w:sz="4" w:space="0"/>
            </w:tcBorders>
            <w:vAlign w:val="center"/>
          </w:tcPr>
          <w:p w14:paraId="37601F40">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78" w:type="pct"/>
            <w:tcBorders>
              <w:top w:val="single" w:color="404040" w:sz="4" w:space="0"/>
              <w:left w:val="single" w:color="auto" w:sz="4" w:space="0"/>
              <w:bottom w:val="single" w:color="404040" w:sz="4" w:space="0"/>
              <w:right w:val="single" w:color="404040" w:sz="4" w:space="0"/>
            </w:tcBorders>
            <w:vAlign w:val="center"/>
          </w:tcPr>
          <w:p w14:paraId="7D9BB40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r>
      <w:tr w14:paraId="5A68EC1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4AEC841E">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D19S433</w:t>
            </w:r>
          </w:p>
        </w:tc>
        <w:tc>
          <w:tcPr>
            <w:tcW w:w="966" w:type="pct"/>
            <w:tcBorders>
              <w:top w:val="single" w:color="404040" w:sz="4" w:space="0"/>
              <w:left w:val="single" w:color="404040" w:sz="4" w:space="0"/>
              <w:bottom w:val="single" w:color="404040" w:sz="4" w:space="0"/>
              <w:right w:val="single" w:color="404040" w:sz="4" w:space="0"/>
            </w:tcBorders>
            <w:vAlign w:val="center"/>
          </w:tcPr>
          <w:p w14:paraId="6E9547B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995" w:type="pct"/>
            <w:tcBorders>
              <w:top w:val="single" w:color="404040" w:sz="4" w:space="0"/>
              <w:left w:val="single" w:color="404040" w:sz="4" w:space="0"/>
              <w:bottom w:val="single" w:color="404040" w:sz="4" w:space="0"/>
              <w:right w:val="single" w:color="404040" w:sz="4" w:space="0"/>
            </w:tcBorders>
            <w:vAlign w:val="center"/>
          </w:tcPr>
          <w:p w14:paraId="6FED28FF">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42" w:type="pct"/>
            <w:tcBorders>
              <w:top w:val="single" w:color="404040" w:sz="4" w:space="0"/>
              <w:left w:val="single" w:color="404040" w:sz="4" w:space="0"/>
              <w:bottom w:val="single" w:color="404040" w:sz="4" w:space="0"/>
              <w:right w:val="single" w:color="auto" w:sz="4" w:space="0"/>
            </w:tcBorders>
            <w:vAlign w:val="center"/>
          </w:tcPr>
          <w:p w14:paraId="784A9FA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c>
          <w:tcPr>
            <w:tcW w:w="1078" w:type="pct"/>
            <w:tcBorders>
              <w:top w:val="single" w:color="404040" w:sz="4" w:space="0"/>
              <w:left w:val="single" w:color="auto" w:sz="4" w:space="0"/>
              <w:bottom w:val="single" w:color="404040" w:sz="4" w:space="0"/>
              <w:right w:val="single" w:color="404040" w:sz="4" w:space="0"/>
            </w:tcBorders>
            <w:vAlign w:val="center"/>
          </w:tcPr>
          <w:p w14:paraId="61DC45A6">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13</w:t>
            </w:r>
          </w:p>
        </w:tc>
      </w:tr>
      <w:tr w14:paraId="3A72AB3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258" w:hRule="atLeast"/>
        </w:trPr>
        <w:tc>
          <w:tcPr>
            <w:tcW w:w="919" w:type="pct"/>
            <w:tcBorders>
              <w:top w:val="single" w:color="404040" w:sz="4" w:space="0"/>
              <w:left w:val="single" w:color="404040" w:sz="4" w:space="0"/>
              <w:bottom w:val="single" w:color="404040" w:sz="4" w:space="0"/>
              <w:right w:val="single" w:color="404040" w:sz="4" w:space="0"/>
            </w:tcBorders>
            <w:vAlign w:val="center"/>
          </w:tcPr>
          <w:p w14:paraId="0636E337">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D2S1338</w:t>
            </w:r>
          </w:p>
        </w:tc>
        <w:tc>
          <w:tcPr>
            <w:tcW w:w="966" w:type="pct"/>
            <w:tcBorders>
              <w:top w:val="single" w:color="404040" w:sz="4" w:space="0"/>
              <w:left w:val="single" w:color="404040" w:sz="4" w:space="0"/>
              <w:bottom w:val="single" w:color="404040" w:sz="4" w:space="0"/>
              <w:right w:val="single" w:color="404040" w:sz="4" w:space="0"/>
            </w:tcBorders>
            <w:vAlign w:val="center"/>
          </w:tcPr>
          <w:p w14:paraId="02B75DD2">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17</w:t>
            </w:r>
          </w:p>
        </w:tc>
        <w:tc>
          <w:tcPr>
            <w:tcW w:w="995" w:type="pct"/>
            <w:tcBorders>
              <w:top w:val="single" w:color="404040" w:sz="4" w:space="0"/>
              <w:left w:val="single" w:color="404040" w:sz="4" w:space="0"/>
              <w:bottom w:val="single" w:color="404040" w:sz="4" w:space="0"/>
              <w:right w:val="single" w:color="404040" w:sz="4" w:space="0"/>
            </w:tcBorders>
            <w:vAlign w:val="center"/>
          </w:tcPr>
          <w:p w14:paraId="4F96F48A">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c>
          <w:tcPr>
            <w:tcW w:w="1042" w:type="pct"/>
            <w:tcBorders>
              <w:top w:val="single" w:color="404040" w:sz="4" w:space="0"/>
              <w:left w:val="single" w:color="404040" w:sz="4" w:space="0"/>
              <w:bottom w:val="single" w:color="404040" w:sz="4" w:space="0"/>
              <w:right w:val="single" w:color="auto" w:sz="4" w:space="0"/>
            </w:tcBorders>
            <w:vAlign w:val="center"/>
          </w:tcPr>
          <w:p w14:paraId="6D303543">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17</w:t>
            </w:r>
          </w:p>
        </w:tc>
        <w:tc>
          <w:tcPr>
            <w:tcW w:w="1078" w:type="pct"/>
            <w:tcBorders>
              <w:top w:val="single" w:color="404040" w:sz="4" w:space="0"/>
              <w:left w:val="single" w:color="auto" w:sz="4" w:space="0"/>
              <w:bottom w:val="single" w:color="404040" w:sz="4" w:space="0"/>
              <w:right w:val="single" w:color="404040" w:sz="4" w:space="0"/>
            </w:tcBorders>
            <w:vAlign w:val="center"/>
          </w:tcPr>
          <w:p w14:paraId="6D784818">
            <w:pPr>
              <w:widowControl/>
              <w:spacing w:before="280" w:beforeAutospacing="1" w:after="280" w:afterAutospacing="1" w:line="276" w:lineRule="auto"/>
              <w:jc w:val="center"/>
              <w:rPr>
                <w:rFonts w:hint="eastAsia" w:ascii="宋体" w:hAnsi="宋体" w:eastAsia="宋体" w:cs="Times New Roman"/>
                <w:kern w:val="0"/>
                <w:sz w:val="21"/>
                <w:szCs w:val="21"/>
                <w14:ligatures w14:val="none"/>
              </w:rPr>
            </w:pPr>
            <w:r>
              <w:rPr>
                <w:rFonts w:hint="eastAsia" w:ascii="宋体" w:hAnsi="宋体" w:eastAsia="宋体" w:cs="Times New Roman"/>
                <w:kern w:val="0"/>
                <w:sz w:val="21"/>
                <w:szCs w:val="21"/>
                <w14:ligatures w14:val="none"/>
              </w:rPr>
              <w:t>24</w:t>
            </w:r>
          </w:p>
        </w:tc>
      </w:tr>
    </w:tbl>
    <w:p w14:paraId="5C1E54FC">
      <w:pPr>
        <w:widowControl/>
        <w:adjustRightInd w:val="0"/>
        <w:snapToGrid w:val="0"/>
        <w:spacing w:before="160" w:line="240" w:lineRule="auto"/>
        <w:rPr>
          <w:rFonts w:ascii="Times New Roman" w:hAnsi="Times New Roman" w:eastAsia="宋体"/>
          <w:b/>
          <w:bCs/>
          <w:sz w:val="24"/>
        </w:rPr>
      </w:pPr>
      <w:r>
        <w:rPr>
          <w:rFonts w:hint="eastAsia" w:ascii="Times New Roman" w:hAnsi="Times New Roman" w:eastAsia="宋体"/>
          <w:b/>
          <w:bCs/>
          <w:sz w:val="24"/>
        </w:rPr>
        <w:t>STR位点信息：</w:t>
      </w:r>
    </w:p>
    <w:p w14:paraId="12AF2DC1">
      <w:pPr>
        <w:widowControl/>
        <w:adjustRightInd w:val="0"/>
        <w:snapToGrid w:val="0"/>
        <w:spacing w:before="160" w:line="240" w:lineRule="auto"/>
        <w:rPr>
          <w:rFonts w:ascii="Times New Roman" w:hAnsi="Times New Roman" w:eastAsia="宋体"/>
          <w:b/>
          <w:bCs/>
          <w:sz w:val="24"/>
        </w:rPr>
      </w:pPr>
    </w:p>
    <w:p w14:paraId="383B1A91">
      <w:pPr>
        <w:rPr>
          <w:rFonts w:hint="eastAsia"/>
        </w:rPr>
        <w:sectPr>
          <w:pgSz w:w="11906" w:h="16838"/>
          <w:pgMar w:top="1440" w:right="1800" w:bottom="1440" w:left="1800" w:header="851" w:footer="992" w:gutter="0"/>
          <w:cols w:space="425" w:num="1"/>
          <w:docGrid w:type="lines" w:linePitch="312" w:charSpace="0"/>
        </w:sectPr>
      </w:pPr>
    </w:p>
    <w:p w14:paraId="4E76EBF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三、处理方式</w:t>
      </w:r>
    </w:p>
    <w:p w14:paraId="43483568">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b/>
          <w:bCs/>
          <w:sz w:val="24"/>
        </w:rPr>
        <w:t>常温细胞处理</w:t>
      </w:r>
      <w:r>
        <w:rPr>
          <w:rFonts w:hint="eastAsia" w:ascii="宋体" w:hAnsi="宋体" w:eastAsia="宋体"/>
          <w:sz w:val="24"/>
        </w:rPr>
        <w:t>：</w:t>
      </w:r>
    </w:p>
    <w:p w14:paraId="4435B138">
      <w:pPr>
        <w:jc w:val="both"/>
        <w:rPr>
          <w:rFonts w:ascii="Times New Roman" w:hAnsi="Times New Roman" w:eastAsia="宋体"/>
          <w:sz w:val="20"/>
          <w:szCs w:val="20"/>
        </w:rPr>
      </w:pPr>
      <w:r>
        <w:rPr>
          <w:rFonts w:hint="eastAsia" w:ascii="Times New Roman" w:hAnsi="Times New Roman" w:eastAsia="宋体"/>
          <w:sz w:val="20"/>
          <w:szCs w:val="20"/>
        </w:rPr>
        <w:t>1、收到常温细胞后，及时拍照并记录有无漏液、瓶身破损现象；</w:t>
      </w:r>
    </w:p>
    <w:p w14:paraId="5ADC9466">
      <w:pPr>
        <w:jc w:val="both"/>
        <w:rPr>
          <w:rFonts w:ascii="Times New Roman" w:hAnsi="Times New Roman" w:eastAsia="宋体"/>
          <w:sz w:val="20"/>
          <w:szCs w:val="20"/>
        </w:rPr>
      </w:pPr>
      <w:r>
        <w:rPr>
          <w:rFonts w:hint="eastAsia" w:ascii="Times New Roman" w:hAnsi="Times New Roman" w:eastAsia="宋体"/>
          <w:sz w:val="20"/>
          <w:szCs w:val="20"/>
        </w:rPr>
        <w:t>2、用75%酒精擦拭细胞培养瓶表面，在显微镜下观察细胞状态。先不打开培养瓶盖，将细胞置于细胞培养箱内平衡复温2-4小时，稳定细胞状态；</w:t>
      </w:r>
    </w:p>
    <w:p w14:paraId="5B35EBD6">
      <w:pPr>
        <w:jc w:val="both"/>
        <w:rPr>
          <w:rFonts w:ascii="Times New Roman" w:hAnsi="Times New Roman" w:eastAsia="宋体"/>
          <w:sz w:val="20"/>
          <w:szCs w:val="20"/>
        </w:rPr>
      </w:pPr>
      <w:r>
        <w:rPr>
          <w:rFonts w:hint="eastAsia" w:ascii="Times New Roman" w:hAnsi="Times New Roman" w:eastAsia="宋体"/>
          <w:sz w:val="20"/>
          <w:szCs w:val="20"/>
        </w:rPr>
        <w:t>3、细胞稳定后，仔细阅读本说明书，了解细胞生长特性、培养体系、冻存条件、传代步骤等相关信息；</w:t>
      </w:r>
    </w:p>
    <w:p w14:paraId="3EA56854">
      <w:pPr>
        <w:jc w:val="both"/>
        <w:rPr>
          <w:rFonts w:ascii="Times New Roman" w:hAnsi="Times New Roman" w:eastAsia="宋体"/>
          <w:sz w:val="20"/>
          <w:szCs w:val="20"/>
        </w:rPr>
      </w:pPr>
      <w:r>
        <w:rPr>
          <w:rFonts w:hint="eastAsia" w:ascii="Times New Roman" w:hAnsi="Times New Roman" w:eastAsia="宋体"/>
          <w:sz w:val="20"/>
          <w:szCs w:val="20"/>
        </w:rPr>
        <w:t>4、吸走大部分培养基离心备用，留10-12 ml培养基，拍照并观察细胞。若细胞密度高于80%，可吸走培养基进行传代；若密度低于80%，则留10-12 ml继续培养至密度高于80%后再传代；</w:t>
      </w:r>
    </w:p>
    <w:p w14:paraId="6AA03475">
      <w:pPr>
        <w:jc w:val="both"/>
        <w:rPr>
          <w:rFonts w:ascii="Times New Roman" w:hAnsi="Times New Roman" w:eastAsia="宋体"/>
          <w:sz w:val="20"/>
          <w:szCs w:val="20"/>
        </w:rPr>
      </w:pPr>
      <w:r>
        <w:rPr>
          <w:rFonts w:hint="eastAsia" w:ascii="Times New Roman" w:hAnsi="Times New Roman" w:eastAsia="宋体"/>
          <w:sz w:val="20"/>
          <w:szCs w:val="20"/>
        </w:rPr>
        <w:t>5、T25瓶首次传代建议按1:2比例进行，即1个T25瓶传为2瓶。</w:t>
      </w:r>
    </w:p>
    <w:p w14:paraId="1F095375">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b/>
          <w:bCs/>
          <w:sz w:val="24"/>
        </w:rPr>
        <w:t>冻存细胞处理</w:t>
      </w:r>
      <w:r>
        <w:rPr>
          <w:rFonts w:hint="eastAsia" w:ascii="宋体" w:hAnsi="宋体" w:eastAsia="宋体"/>
          <w:sz w:val="24"/>
        </w:rPr>
        <w:t>：</w:t>
      </w:r>
    </w:p>
    <w:p w14:paraId="43D37902">
      <w:pPr>
        <w:jc w:val="both"/>
        <w:rPr>
          <w:rFonts w:ascii="Times New Roman" w:hAnsi="Times New Roman" w:eastAsia="宋体"/>
          <w:sz w:val="20"/>
          <w:szCs w:val="20"/>
        </w:rPr>
      </w:pPr>
      <w:r>
        <w:rPr>
          <w:rFonts w:hint="eastAsia" w:ascii="Times New Roman" w:hAnsi="Times New Roman" w:eastAsia="宋体"/>
          <w:sz w:val="20"/>
          <w:szCs w:val="20"/>
        </w:rPr>
        <w:t>1、收到细胞后，开箱拍照，将冻存管置于冰上核对细胞信息，同时观察冻存管是否完好、有无解冻情况；</w:t>
      </w:r>
    </w:p>
    <w:p w14:paraId="22D622D6">
      <w:pPr>
        <w:jc w:val="both"/>
        <w:rPr>
          <w:rFonts w:ascii="Times New Roman" w:hAnsi="Times New Roman" w:eastAsia="宋体"/>
          <w:sz w:val="20"/>
          <w:szCs w:val="20"/>
        </w:rPr>
      </w:pPr>
      <w:r>
        <w:rPr>
          <w:rFonts w:hint="eastAsia" w:ascii="Times New Roman" w:hAnsi="Times New Roman" w:eastAsia="宋体"/>
          <w:sz w:val="20"/>
          <w:szCs w:val="20"/>
        </w:rPr>
        <w:t>2、若收到细胞当天不复苏，需及时将细胞转移至液氮罐（过程需迅速，避免细胞离开低温区域）；若无液氮罐，可短时间保存在- 80℃冰箱，长期保存仍需置于液氮罐；</w:t>
      </w:r>
    </w:p>
    <w:p w14:paraId="0C032ECE">
      <w:pPr>
        <w:jc w:val="both"/>
        <w:rPr>
          <w:rFonts w:ascii="Times New Roman" w:hAnsi="Times New Roman" w:eastAsia="宋体"/>
          <w:sz w:val="20"/>
          <w:szCs w:val="20"/>
        </w:rPr>
      </w:pPr>
      <w:r>
        <w:rPr>
          <w:rFonts w:hint="eastAsia" w:ascii="Times New Roman" w:hAnsi="Times New Roman" w:eastAsia="宋体"/>
          <w:sz w:val="20"/>
          <w:szCs w:val="20"/>
        </w:rPr>
        <w:t>3、提前准备适合该细胞生长的培养基，从冰箱取出后需恢复至室温再使用；</w:t>
      </w:r>
    </w:p>
    <w:p w14:paraId="71275E1D">
      <w:pPr>
        <w:jc w:val="both"/>
        <w:rPr>
          <w:rFonts w:ascii="Times New Roman" w:hAnsi="Times New Roman" w:eastAsia="宋体"/>
          <w:sz w:val="20"/>
          <w:szCs w:val="20"/>
        </w:rPr>
      </w:pPr>
      <w:r>
        <w:rPr>
          <w:rFonts w:hint="eastAsia" w:ascii="Times New Roman" w:hAnsi="Times New Roman" w:eastAsia="宋体"/>
          <w:sz w:val="20"/>
          <w:szCs w:val="20"/>
        </w:rPr>
        <w:t>4、复苏1管至1个T25瓶或6 cm培养皿中。复苏后可取少量细胞计数并检测活力。</w:t>
      </w:r>
    </w:p>
    <w:p w14:paraId="0E52711B">
      <w:pPr>
        <w:jc w:val="both"/>
        <w:rPr>
          <w:rFonts w:ascii="Times New Roman" w:hAnsi="Times New Roman" w:eastAsia="宋体"/>
          <w:sz w:val="20"/>
          <w:szCs w:val="20"/>
        </w:rPr>
      </w:pPr>
    </w:p>
    <w:p w14:paraId="0BC9C1F3">
      <w:pPr>
        <w:adjustRightInd w:val="0"/>
        <w:snapToGrid w:val="0"/>
        <w:spacing w:before="156" w:beforeLines="50" w:after="156" w:afterLines="50" w:line="300" w:lineRule="auto"/>
        <w:rPr>
          <w:rFonts w:hint="eastAsia" w:ascii="宋体" w:hAnsi="宋体" w:eastAsia="宋体"/>
          <w:sz w:val="24"/>
        </w:rPr>
      </w:pPr>
      <w:r>
        <w:rPr>
          <w:rFonts w:hint="eastAsia" w:ascii="宋体" w:hAnsi="宋体" w:eastAsia="宋体"/>
          <w:sz w:val="24"/>
        </w:rPr>
        <w:sym w:font="Wingdings" w:char="F0AB"/>
      </w:r>
      <w:r>
        <w:rPr>
          <w:rFonts w:hint="eastAsia" w:ascii="宋体" w:hAnsi="宋体" w:eastAsia="宋体"/>
          <w:sz w:val="24"/>
        </w:rPr>
        <w:t xml:space="preserve"> </w:t>
      </w:r>
      <w:r>
        <w:rPr>
          <w:rFonts w:hint="eastAsia" w:ascii="宋体" w:hAnsi="宋体" w:eastAsia="宋体"/>
          <w:b/>
          <w:bCs/>
          <w:sz w:val="24"/>
        </w:rPr>
        <w:t>注意事项</w:t>
      </w:r>
      <w:r>
        <w:rPr>
          <w:rFonts w:hint="eastAsia" w:ascii="宋体" w:hAnsi="宋体" w:eastAsia="宋体"/>
          <w:sz w:val="24"/>
        </w:rPr>
        <w:t>：</w:t>
      </w:r>
    </w:p>
    <w:p w14:paraId="5622300A">
      <w:pPr>
        <w:jc w:val="both"/>
        <w:rPr>
          <w:rFonts w:ascii="Times New Roman" w:hAnsi="Times New Roman" w:eastAsia="宋体"/>
          <w:sz w:val="20"/>
          <w:szCs w:val="20"/>
        </w:rPr>
      </w:pPr>
      <w:r>
        <w:rPr>
          <w:rFonts w:hint="eastAsia" w:ascii="Times New Roman" w:hAnsi="Times New Roman" w:eastAsia="宋体"/>
          <w:sz w:val="20"/>
          <w:szCs w:val="20"/>
        </w:rPr>
        <w:t>1、若培养瓶或冻存管出现破损、漏液，及时拍照联系销售反馈，按指导处理；仅外包装破损一般不影响使用；</w:t>
      </w:r>
    </w:p>
    <w:p w14:paraId="7899C247">
      <w:pPr>
        <w:jc w:val="both"/>
        <w:rPr>
          <w:rFonts w:ascii="Times New Roman" w:hAnsi="Times New Roman" w:eastAsia="宋体"/>
          <w:sz w:val="20"/>
          <w:szCs w:val="20"/>
        </w:rPr>
      </w:pPr>
      <w:r>
        <w:rPr>
          <w:rFonts w:hint="eastAsia" w:ascii="Times New Roman" w:hAnsi="Times New Roman" w:eastAsia="宋体"/>
          <w:sz w:val="20"/>
          <w:szCs w:val="20"/>
        </w:rPr>
        <w:t>2、细胞增殖较快，发货细胞量较多时培养基可能变黄。使用此类培养基时，需及时观察颜色变化，缩短换液周期，每瓶多加2-3 ml培养基；</w:t>
      </w:r>
    </w:p>
    <w:p w14:paraId="3DBF050B">
      <w:pPr>
        <w:jc w:val="both"/>
        <w:rPr>
          <w:rFonts w:ascii="Times New Roman" w:hAnsi="Times New Roman" w:eastAsia="宋体"/>
          <w:sz w:val="20"/>
          <w:szCs w:val="20"/>
        </w:rPr>
      </w:pPr>
      <w:r>
        <w:rPr>
          <w:rFonts w:hint="eastAsia" w:ascii="Times New Roman" w:hAnsi="Times New Roman" w:eastAsia="宋体"/>
          <w:sz w:val="20"/>
          <w:szCs w:val="20"/>
        </w:rPr>
        <w:t>3、若无法观察到细胞，建议收集培养基，1200rpm离心5分钟，观察细胞沉淀量，并用少量培养基重悬沉淀，取部分悬液至计数板或载玻片观察；</w:t>
      </w:r>
    </w:p>
    <w:p w14:paraId="64315C86">
      <w:pPr>
        <w:jc w:val="both"/>
        <w:rPr>
          <w:rFonts w:ascii="Times New Roman" w:hAnsi="Times New Roman" w:eastAsia="宋体"/>
          <w:sz w:val="20"/>
          <w:szCs w:val="20"/>
        </w:rPr>
      </w:pPr>
      <w:r>
        <w:rPr>
          <w:rFonts w:hint="eastAsia" w:ascii="Times New Roman" w:hAnsi="Times New Roman" w:eastAsia="宋体"/>
          <w:sz w:val="20"/>
          <w:szCs w:val="20"/>
        </w:rPr>
        <w:t>4、本公司提供细胞株技术服务及相应费用，提供完善技术支持和售后服务，收到产品后的处理方式及售后条款参见《细胞售后条例》。</w:t>
      </w:r>
    </w:p>
    <w:p w14:paraId="54B75F3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四、细胞复苏</w:t>
      </w:r>
    </w:p>
    <w:p w14:paraId="19CD89D8">
      <w:pPr>
        <w:jc w:val="both"/>
        <w:rPr>
          <w:rFonts w:ascii="Times New Roman" w:hAnsi="Times New Roman" w:eastAsia="宋体"/>
          <w:sz w:val="20"/>
          <w:szCs w:val="20"/>
        </w:rPr>
      </w:pPr>
      <w:r>
        <w:rPr>
          <w:rFonts w:hint="eastAsia" w:ascii="Times New Roman" w:hAnsi="Times New Roman" w:eastAsia="宋体"/>
          <w:sz w:val="20"/>
          <w:szCs w:val="20"/>
        </w:rPr>
        <w:t>1、将水浴锅预热至37℃，在无菌离心管中提前加入4 ml培养基待用；</w:t>
      </w:r>
    </w:p>
    <w:p w14:paraId="7D2DDF68">
      <w:pPr>
        <w:jc w:val="both"/>
        <w:rPr>
          <w:rFonts w:ascii="Times New Roman" w:hAnsi="Times New Roman" w:eastAsia="宋体"/>
          <w:sz w:val="20"/>
          <w:szCs w:val="20"/>
        </w:rPr>
      </w:pPr>
      <w:r>
        <w:rPr>
          <w:rFonts w:hint="eastAsia" w:ascii="Times New Roman" w:hAnsi="Times New Roman" w:eastAsia="宋体"/>
          <w:sz w:val="20"/>
          <w:szCs w:val="20"/>
        </w:rPr>
        <w:t>2、从液氮罐或-80℃冰箱中取出需复苏的细胞，将细胞冻存管迅速没入水浴锅，摇晃冻存管加速溶解，溶解时间约1-2分钟；</w:t>
      </w:r>
    </w:p>
    <w:p w14:paraId="63E0A4F8">
      <w:pPr>
        <w:jc w:val="both"/>
        <w:rPr>
          <w:rFonts w:ascii="Times New Roman" w:hAnsi="Times New Roman" w:eastAsia="宋体"/>
          <w:sz w:val="20"/>
          <w:szCs w:val="20"/>
        </w:rPr>
      </w:pPr>
      <w:r>
        <w:rPr>
          <w:rFonts w:hint="eastAsia" w:ascii="Times New Roman" w:hAnsi="Times New Roman" w:eastAsia="宋体"/>
          <w:sz w:val="20"/>
          <w:szCs w:val="20"/>
        </w:rPr>
        <w:t>3、在超净台中将融化的细胞悬液加入装有4 ml培养基的离心管，1000 rpm（约300 g离心力）离心5分钟，弃上清；</w:t>
      </w:r>
    </w:p>
    <w:p w14:paraId="3C25B89A">
      <w:pPr>
        <w:jc w:val="both"/>
        <w:rPr>
          <w:rFonts w:ascii="Times New Roman" w:hAnsi="Times New Roman" w:eastAsia="宋体"/>
          <w:sz w:val="20"/>
          <w:szCs w:val="20"/>
        </w:rPr>
      </w:pPr>
      <w:r>
        <w:rPr>
          <w:rFonts w:hint="eastAsia" w:ascii="Times New Roman" w:hAnsi="Times New Roman" w:eastAsia="宋体"/>
          <w:sz w:val="20"/>
          <w:szCs w:val="20"/>
        </w:rPr>
        <w:t>4、用适量完全培养基重悬细胞，转移至T25细胞培养瓶，补充培养基至5 ml，放入培养箱培养，第二天观察细胞状态和密度。</w:t>
      </w:r>
    </w:p>
    <w:p w14:paraId="0E27C51D">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五、细胞传代</w:t>
      </w:r>
    </w:p>
    <w:p w14:paraId="26C1A2DB">
      <w:pPr>
        <w:jc w:val="both"/>
        <w:rPr>
          <w:rFonts w:ascii="Times New Roman" w:hAnsi="Times New Roman" w:eastAsia="宋体"/>
          <w:sz w:val="20"/>
          <w:szCs w:val="20"/>
        </w:rPr>
      </w:pPr>
      <w:r>
        <w:rPr>
          <w:rFonts w:ascii="Times New Roman" w:hAnsi="Times New Roman" w:eastAsia="宋体"/>
          <w:sz w:val="20"/>
          <w:szCs w:val="20"/>
        </w:rPr>
        <w:t>当细胞密度大于80%时即可进行传代培养，步骤如下：</w:t>
      </w:r>
    </w:p>
    <w:p w14:paraId="6D9183AC">
      <w:pPr>
        <w:jc w:val="both"/>
        <w:rPr>
          <w:rFonts w:ascii="Times New Roman" w:hAnsi="Times New Roman" w:eastAsia="宋体"/>
          <w:sz w:val="20"/>
          <w:szCs w:val="20"/>
        </w:rPr>
      </w:pPr>
      <w:r>
        <w:rPr>
          <w:rFonts w:hint="eastAsia" w:ascii="Times New Roman" w:hAnsi="Times New Roman" w:eastAsia="宋体"/>
          <w:sz w:val="20"/>
          <w:szCs w:val="20"/>
        </w:rPr>
        <w:t>1、</w:t>
      </w:r>
      <w:r>
        <w:rPr>
          <w:rFonts w:ascii="Times New Roman" w:hAnsi="Times New Roman" w:eastAsia="宋体"/>
          <w:sz w:val="20"/>
          <w:szCs w:val="20"/>
        </w:rPr>
        <w:t>尽量吸净T25瓶中的原培养基；</w:t>
      </w:r>
    </w:p>
    <w:p w14:paraId="02754EB5">
      <w:pPr>
        <w:jc w:val="both"/>
        <w:rPr>
          <w:rFonts w:ascii="Times New Roman" w:hAnsi="Times New Roman" w:eastAsia="宋体"/>
          <w:sz w:val="20"/>
          <w:szCs w:val="20"/>
        </w:rPr>
      </w:pPr>
      <w:r>
        <w:rPr>
          <w:rFonts w:hint="eastAsia" w:ascii="Times New Roman" w:hAnsi="Times New Roman" w:eastAsia="宋体"/>
          <w:sz w:val="20"/>
          <w:szCs w:val="20"/>
        </w:rPr>
        <w:t>2、</w:t>
      </w:r>
      <w:r>
        <w:rPr>
          <w:rFonts w:ascii="Times New Roman" w:hAnsi="Times New Roman" w:eastAsia="宋体"/>
          <w:sz w:val="20"/>
          <w:szCs w:val="20"/>
        </w:rPr>
        <w:t>加入3-4</w:t>
      </w:r>
      <w:r>
        <w:rPr>
          <w:rFonts w:hint="eastAsia" w:ascii="Times New Roman" w:hAnsi="Times New Roman" w:eastAsia="宋体"/>
          <w:sz w:val="20"/>
          <w:szCs w:val="20"/>
        </w:rPr>
        <w:t xml:space="preserve"> </w:t>
      </w:r>
      <w:r>
        <w:rPr>
          <w:rFonts w:ascii="Times New Roman" w:hAnsi="Times New Roman" w:eastAsia="宋体"/>
          <w:sz w:val="20"/>
          <w:szCs w:val="20"/>
        </w:rPr>
        <w:t>ml常温不含钙、镁离子的PBS，轻轻润洗细胞1-2次后吸走PBS；</w:t>
      </w:r>
    </w:p>
    <w:p w14:paraId="6959148C">
      <w:pPr>
        <w:jc w:val="both"/>
        <w:rPr>
          <w:rFonts w:ascii="Times New Roman" w:hAnsi="Times New Roman" w:eastAsia="宋体"/>
          <w:sz w:val="20"/>
          <w:szCs w:val="20"/>
        </w:rPr>
      </w:pPr>
      <w:r>
        <w:rPr>
          <w:rFonts w:hint="eastAsia" w:ascii="Times New Roman" w:hAnsi="Times New Roman" w:eastAsia="宋体"/>
          <w:sz w:val="20"/>
          <w:szCs w:val="20"/>
        </w:rPr>
        <w:t>3、</w:t>
      </w:r>
      <w:r>
        <w:rPr>
          <w:rFonts w:ascii="Times New Roman" w:hAnsi="Times New Roman" w:eastAsia="宋体"/>
          <w:sz w:val="20"/>
          <w:szCs w:val="20"/>
        </w:rPr>
        <w:t>向T25瓶中加入1</w:t>
      </w:r>
      <w:r>
        <w:rPr>
          <w:rFonts w:hint="eastAsia" w:ascii="Times New Roman" w:hAnsi="Times New Roman" w:eastAsia="宋体"/>
          <w:sz w:val="20"/>
          <w:szCs w:val="20"/>
        </w:rPr>
        <w:t xml:space="preserve"> </w:t>
      </w:r>
      <w:r>
        <w:rPr>
          <w:rFonts w:ascii="Times New Roman" w:hAnsi="Times New Roman" w:eastAsia="宋体"/>
          <w:sz w:val="20"/>
          <w:szCs w:val="20"/>
        </w:rPr>
        <w:t>ml含EDTA的胰酶，轻轻晃动培养瓶，使胰酶均匀</w:t>
      </w:r>
      <w:r>
        <w:rPr>
          <w:rFonts w:hint="eastAsia" w:ascii="Times New Roman" w:hAnsi="Times New Roman" w:eastAsia="宋体"/>
          <w:sz w:val="20"/>
          <w:szCs w:val="20"/>
        </w:rPr>
        <w:t>分布于</w:t>
      </w:r>
      <w:r>
        <w:rPr>
          <w:rFonts w:ascii="Times New Roman" w:hAnsi="Times New Roman" w:eastAsia="宋体"/>
          <w:sz w:val="20"/>
          <w:szCs w:val="20"/>
        </w:rPr>
        <w:t>瓶底细胞层；</w:t>
      </w:r>
    </w:p>
    <w:p w14:paraId="197631CE">
      <w:pPr>
        <w:jc w:val="both"/>
        <w:rPr>
          <w:rFonts w:ascii="Times New Roman" w:hAnsi="Times New Roman" w:eastAsia="宋体"/>
          <w:sz w:val="20"/>
          <w:szCs w:val="20"/>
        </w:rPr>
      </w:pPr>
      <w:r>
        <w:rPr>
          <w:rFonts w:hint="eastAsia" w:ascii="Times New Roman" w:hAnsi="Times New Roman" w:eastAsia="宋体"/>
          <w:sz w:val="20"/>
          <w:szCs w:val="20"/>
        </w:rPr>
        <w:t>4、</w:t>
      </w:r>
      <w:r>
        <w:rPr>
          <w:rFonts w:ascii="Times New Roman" w:hAnsi="Times New Roman" w:eastAsia="宋体"/>
          <w:sz w:val="20"/>
          <w:szCs w:val="20"/>
        </w:rPr>
        <w:t>将培养瓶放入37℃培养箱消化；</w:t>
      </w:r>
    </w:p>
    <w:p w14:paraId="66616860">
      <w:pPr>
        <w:jc w:val="both"/>
        <w:rPr>
          <w:rFonts w:ascii="Times New Roman" w:hAnsi="Times New Roman" w:eastAsia="宋体"/>
          <w:sz w:val="20"/>
          <w:szCs w:val="20"/>
        </w:rPr>
      </w:pPr>
      <w:r>
        <w:rPr>
          <w:rFonts w:hint="eastAsia" w:ascii="Times New Roman" w:hAnsi="Times New Roman" w:eastAsia="宋体"/>
          <w:sz w:val="20"/>
          <w:szCs w:val="20"/>
        </w:rPr>
        <w:t>5、</w:t>
      </w:r>
      <w:r>
        <w:rPr>
          <w:rFonts w:ascii="Times New Roman" w:hAnsi="Times New Roman" w:eastAsia="宋体"/>
          <w:sz w:val="20"/>
          <w:szCs w:val="20"/>
        </w:rPr>
        <w:t>待细胞</w:t>
      </w:r>
      <w:r>
        <w:rPr>
          <w:rFonts w:hint="eastAsia" w:ascii="Times New Roman" w:hAnsi="Times New Roman" w:eastAsia="宋体"/>
          <w:sz w:val="20"/>
          <w:szCs w:val="20"/>
        </w:rPr>
        <w:t>变圆并开始脱落时</w:t>
      </w:r>
      <w:r>
        <w:rPr>
          <w:rFonts w:ascii="Times New Roman" w:hAnsi="Times New Roman" w:eastAsia="宋体"/>
          <w:sz w:val="20"/>
          <w:szCs w:val="20"/>
        </w:rPr>
        <w:t>，加入</w:t>
      </w:r>
      <w:r>
        <w:rPr>
          <w:rFonts w:hint="eastAsia" w:ascii="Times New Roman" w:hAnsi="Times New Roman" w:eastAsia="宋体"/>
          <w:sz w:val="20"/>
          <w:szCs w:val="20"/>
        </w:rPr>
        <w:t xml:space="preserve">1 </w:t>
      </w:r>
      <w:r>
        <w:rPr>
          <w:rFonts w:ascii="Times New Roman" w:hAnsi="Times New Roman" w:eastAsia="宋体"/>
          <w:sz w:val="20"/>
          <w:szCs w:val="20"/>
        </w:rPr>
        <w:t>ml完全培养基终止消化；</w:t>
      </w:r>
    </w:p>
    <w:p w14:paraId="41EE2216">
      <w:pPr>
        <w:jc w:val="both"/>
        <w:rPr>
          <w:rFonts w:ascii="Times New Roman" w:hAnsi="Times New Roman" w:eastAsia="宋体"/>
          <w:sz w:val="20"/>
          <w:szCs w:val="20"/>
        </w:rPr>
      </w:pPr>
      <w:r>
        <w:rPr>
          <w:rFonts w:hint="eastAsia" w:ascii="Times New Roman" w:hAnsi="Times New Roman" w:eastAsia="宋体"/>
          <w:sz w:val="20"/>
          <w:szCs w:val="20"/>
        </w:rPr>
        <w:t>6、</w:t>
      </w:r>
      <w:r>
        <w:rPr>
          <w:rFonts w:ascii="Times New Roman" w:hAnsi="Times New Roman" w:eastAsia="宋体"/>
          <w:sz w:val="20"/>
          <w:szCs w:val="20"/>
        </w:rPr>
        <w:t>轻轻吹打</w:t>
      </w:r>
      <w:r>
        <w:rPr>
          <w:rFonts w:hint="eastAsia" w:ascii="Times New Roman" w:hAnsi="Times New Roman" w:eastAsia="宋体"/>
          <w:sz w:val="20"/>
          <w:szCs w:val="20"/>
        </w:rPr>
        <w:t>使</w:t>
      </w:r>
      <w:r>
        <w:rPr>
          <w:rFonts w:ascii="Times New Roman" w:hAnsi="Times New Roman" w:eastAsia="宋体"/>
          <w:sz w:val="20"/>
          <w:szCs w:val="20"/>
        </w:rPr>
        <w:t>细胞</w:t>
      </w:r>
      <w:r>
        <w:rPr>
          <w:rFonts w:hint="eastAsia" w:ascii="Times New Roman" w:hAnsi="Times New Roman" w:eastAsia="宋体"/>
          <w:sz w:val="20"/>
          <w:szCs w:val="20"/>
        </w:rPr>
        <w:t>脱落</w:t>
      </w:r>
      <w:r>
        <w:rPr>
          <w:rFonts w:ascii="Times New Roman" w:hAnsi="Times New Roman" w:eastAsia="宋体"/>
          <w:sz w:val="20"/>
          <w:szCs w:val="20"/>
        </w:rPr>
        <w:t>，</w:t>
      </w:r>
      <w:r>
        <w:rPr>
          <w:rFonts w:hint="eastAsia" w:ascii="Times New Roman" w:hAnsi="Times New Roman" w:eastAsia="宋体"/>
          <w:sz w:val="20"/>
          <w:szCs w:val="20"/>
        </w:rPr>
        <w:t>转移至无菌的5 ml离心管，</w:t>
      </w:r>
      <w:r>
        <w:rPr>
          <w:rFonts w:ascii="Times New Roman" w:hAnsi="Times New Roman" w:eastAsia="宋体"/>
          <w:sz w:val="20"/>
          <w:szCs w:val="20"/>
        </w:rPr>
        <w:t>1000rpm离心5分钟，弃上清；</w:t>
      </w:r>
    </w:p>
    <w:p w14:paraId="468C80B3">
      <w:pPr>
        <w:jc w:val="both"/>
        <w:rPr>
          <w:rFonts w:ascii="Times New Roman" w:hAnsi="Times New Roman" w:eastAsia="宋体"/>
          <w:sz w:val="20"/>
          <w:szCs w:val="20"/>
        </w:rPr>
      </w:pPr>
      <w:r>
        <w:rPr>
          <w:rFonts w:hint="eastAsia" w:ascii="Times New Roman" w:hAnsi="Times New Roman" w:eastAsia="宋体"/>
          <w:sz w:val="20"/>
          <w:szCs w:val="20"/>
        </w:rPr>
        <w:t>7、</w:t>
      </w:r>
      <w:r>
        <w:rPr>
          <w:rFonts w:ascii="Times New Roman" w:hAnsi="Times New Roman" w:eastAsia="宋体"/>
          <w:sz w:val="20"/>
          <w:szCs w:val="20"/>
        </w:rPr>
        <w:t>加入新的完全培养基轻轻重悬细胞，</w:t>
      </w:r>
      <w:r>
        <w:rPr>
          <w:rFonts w:hint="eastAsia" w:ascii="Times New Roman" w:hAnsi="Times New Roman" w:eastAsia="宋体"/>
          <w:sz w:val="20"/>
          <w:szCs w:val="20"/>
        </w:rPr>
        <w:t>将细胞转移到</w:t>
      </w:r>
      <w:r>
        <w:rPr>
          <w:rFonts w:ascii="Times New Roman" w:hAnsi="Times New Roman" w:eastAsia="宋体"/>
          <w:sz w:val="20"/>
          <w:szCs w:val="20"/>
        </w:rPr>
        <w:t>新的培养瓶中</w:t>
      </w:r>
      <w:r>
        <w:rPr>
          <w:rFonts w:hint="eastAsia" w:ascii="Times New Roman" w:hAnsi="Times New Roman" w:eastAsia="宋体"/>
          <w:sz w:val="20"/>
          <w:szCs w:val="20"/>
        </w:rPr>
        <w:t>并摇匀，加入5 ml完全培养基培养</w:t>
      </w:r>
      <w:r>
        <w:rPr>
          <w:rFonts w:ascii="Times New Roman" w:hAnsi="Times New Roman" w:eastAsia="宋体"/>
          <w:sz w:val="20"/>
          <w:szCs w:val="20"/>
        </w:rPr>
        <w:t>；</w:t>
      </w:r>
    </w:p>
    <w:p w14:paraId="17321AA9">
      <w:pPr>
        <w:jc w:val="both"/>
        <w:rPr>
          <w:rFonts w:ascii="Times New Roman" w:hAnsi="Times New Roman" w:eastAsia="宋体"/>
          <w:sz w:val="20"/>
          <w:szCs w:val="20"/>
        </w:rPr>
      </w:pPr>
      <w:r>
        <w:rPr>
          <w:rFonts w:ascii="Times New Roman" w:hAnsi="Times New Roman" w:eastAsia="宋体"/>
          <w:b/>
          <w:bCs/>
          <w:sz w:val="20"/>
          <w:szCs w:val="20"/>
        </w:rPr>
        <w:t>消化时间</w:t>
      </w:r>
      <w:r>
        <w:rPr>
          <w:rFonts w:ascii="Times New Roman" w:hAnsi="Times New Roman" w:eastAsia="宋体"/>
          <w:sz w:val="20"/>
          <w:szCs w:val="20"/>
        </w:rPr>
        <w:t>：不同品牌胰酶消化时间不同，需注意控制</w:t>
      </w:r>
    </w:p>
    <w:p w14:paraId="783591BE">
      <w:pPr>
        <w:jc w:val="both"/>
        <w:rPr>
          <w:rFonts w:ascii="Times New Roman" w:hAnsi="Times New Roman" w:eastAsia="宋体"/>
          <w:sz w:val="20"/>
          <w:szCs w:val="20"/>
        </w:rPr>
      </w:pPr>
      <w:r>
        <w:rPr>
          <w:rFonts w:ascii="Times New Roman" w:hAnsi="Times New Roman" w:eastAsia="宋体"/>
          <w:b/>
          <w:bCs/>
          <w:sz w:val="20"/>
          <w:szCs w:val="20"/>
        </w:rPr>
        <w:t>传代比例</w:t>
      </w:r>
      <w:r>
        <w:rPr>
          <w:rFonts w:ascii="Times New Roman" w:hAnsi="Times New Roman" w:eastAsia="宋体"/>
          <w:sz w:val="20"/>
          <w:szCs w:val="20"/>
        </w:rPr>
        <w:t>：1:2-1:4（具体根据细胞生长速度及密度调整）</w:t>
      </w:r>
    </w:p>
    <w:p w14:paraId="3A2529C0">
      <w:pPr>
        <w:jc w:val="both"/>
        <w:rPr>
          <w:rFonts w:ascii="Times New Roman" w:hAnsi="Times New Roman" w:eastAsia="宋体"/>
          <w:sz w:val="20"/>
          <w:szCs w:val="20"/>
        </w:rPr>
      </w:pPr>
      <w:r>
        <w:rPr>
          <w:rFonts w:ascii="Times New Roman" w:hAnsi="Times New Roman" w:eastAsia="宋体"/>
          <w:b/>
          <w:bCs/>
          <w:sz w:val="20"/>
          <w:szCs w:val="20"/>
        </w:rPr>
        <w:t>换液频次</w:t>
      </w:r>
      <w:r>
        <w:rPr>
          <w:rFonts w:ascii="Times New Roman" w:hAnsi="Times New Roman" w:eastAsia="宋体"/>
          <w:sz w:val="20"/>
          <w:szCs w:val="20"/>
        </w:rPr>
        <w:t>：</w:t>
      </w:r>
      <w:r>
        <w:rPr>
          <w:rFonts w:hint="eastAsia" w:ascii="Times New Roman" w:hAnsi="Times New Roman" w:eastAsia="宋体"/>
          <w:sz w:val="20"/>
          <w:szCs w:val="20"/>
        </w:rPr>
        <w:t>2-3</w:t>
      </w:r>
      <w:r>
        <w:rPr>
          <w:rFonts w:ascii="Times New Roman" w:hAnsi="Times New Roman" w:eastAsia="宋体"/>
          <w:sz w:val="20"/>
          <w:szCs w:val="20"/>
        </w:rPr>
        <w:t>天</w:t>
      </w:r>
    </w:p>
    <w:p w14:paraId="3EBF6AD0">
      <w:pPr>
        <w:adjustRightInd w:val="0"/>
        <w:snapToGrid w:val="0"/>
        <w:spacing w:line="300" w:lineRule="auto"/>
        <w:jc w:val="both"/>
        <w:rPr>
          <w:rFonts w:ascii="Times New Roman" w:hAnsi="Times New Roman" w:eastAsia="宋体"/>
        </w:rPr>
      </w:pPr>
    </w:p>
    <w:p w14:paraId="0746E80B">
      <w:pPr>
        <w:adjustRightInd w:val="0"/>
        <w:snapToGrid w:val="0"/>
        <w:spacing w:before="156" w:beforeLines="50" w:after="156" w:afterLines="50" w:line="240" w:lineRule="auto"/>
        <w:rPr>
          <w:rFonts w:hint="eastAsia" w:ascii="黑体" w:hAnsi="黑体" w:eastAsia="黑体"/>
          <w:sz w:val="28"/>
          <w:szCs w:val="28"/>
        </w:rPr>
      </w:pPr>
      <w:bookmarkStart w:id="2" w:name="OLE_LINK2"/>
      <w:r>
        <w:rPr>
          <w:rFonts w:hint="eastAsia" w:ascii="黑体" w:hAnsi="黑体" w:eastAsia="黑体"/>
          <w:sz w:val="28"/>
          <w:szCs w:val="28"/>
        </w:rPr>
        <w:t>六、</w:t>
      </w:r>
      <w:r>
        <w:rPr>
          <w:rFonts w:ascii="黑体" w:hAnsi="黑体" w:eastAsia="黑体"/>
          <w:sz w:val="28"/>
          <w:szCs w:val="28"/>
        </w:rPr>
        <w:t>细胞售后条例</w:t>
      </w:r>
    </w:p>
    <w:bookmarkEnd w:id="2"/>
    <w:p w14:paraId="4640B0FB">
      <w:pPr>
        <w:rPr>
          <w:rFonts w:ascii="Times New Roman" w:hAnsi="Times New Roman" w:eastAsia="宋体"/>
          <w:sz w:val="20"/>
          <w:szCs w:val="20"/>
        </w:rPr>
      </w:pPr>
      <w:r>
        <w:rPr>
          <w:rFonts w:hint="eastAsia" w:ascii="Times New Roman" w:hAnsi="Times New Roman" w:eastAsia="宋体"/>
          <w:sz w:val="20"/>
          <w:szCs w:val="20"/>
        </w:rPr>
        <w:t>1、购买的冻存细胞发2管，先复苏第一管，再视情况复苏第二管；</w:t>
      </w:r>
    </w:p>
    <w:p w14:paraId="3AD275DC">
      <w:pPr>
        <w:rPr>
          <w:rFonts w:ascii="Times New Roman" w:hAnsi="Times New Roman" w:eastAsia="宋体"/>
          <w:sz w:val="20"/>
          <w:szCs w:val="20"/>
        </w:rPr>
      </w:pPr>
      <w:r>
        <w:rPr>
          <w:rFonts w:hint="eastAsia" w:ascii="Times New Roman" w:hAnsi="Times New Roman" w:eastAsia="宋体"/>
          <w:sz w:val="20"/>
          <w:szCs w:val="20"/>
        </w:rPr>
        <w:t>2、复苏第一管出现问题，联系我方分析原因并指导复苏第二管；在技术支持下仍无法存活的，可重发常温细胞；重发冻存细胞需加收干冰费用（需及时拍照反馈）；</w:t>
      </w:r>
    </w:p>
    <w:p w14:paraId="3700493F">
      <w:pPr>
        <w:rPr>
          <w:rFonts w:ascii="Times New Roman" w:hAnsi="Times New Roman" w:eastAsia="宋体"/>
          <w:sz w:val="20"/>
          <w:szCs w:val="20"/>
        </w:rPr>
      </w:pPr>
      <w:r>
        <w:rPr>
          <w:rFonts w:hint="eastAsia" w:ascii="Times New Roman" w:hAnsi="Times New Roman" w:eastAsia="宋体"/>
          <w:sz w:val="20"/>
          <w:szCs w:val="20"/>
        </w:rPr>
        <w:t>3、冻存细胞发货2支为同一批次，一管复苏成功另一管失败的，不予重发；</w:t>
      </w:r>
    </w:p>
    <w:p w14:paraId="2106C4F0">
      <w:pPr>
        <w:rPr>
          <w:rFonts w:ascii="Times New Roman" w:hAnsi="Times New Roman" w:eastAsia="宋体"/>
          <w:sz w:val="20"/>
          <w:szCs w:val="20"/>
        </w:rPr>
      </w:pPr>
      <w:r>
        <w:rPr>
          <w:rFonts w:hint="eastAsia" w:ascii="Times New Roman" w:hAnsi="Times New Roman" w:eastAsia="宋体"/>
          <w:sz w:val="20"/>
          <w:szCs w:val="20"/>
        </w:rPr>
        <w:t>4、收到冻存细胞复苏后状态良好，但因用户自身操作导致细胞污染、状态不佳、冻存后复苏失败的，不予免费重发；</w:t>
      </w:r>
    </w:p>
    <w:p w14:paraId="1BBDF6DE">
      <w:pPr>
        <w:rPr>
          <w:rFonts w:ascii="Times New Roman" w:hAnsi="Times New Roman" w:eastAsia="宋体"/>
          <w:sz w:val="20"/>
          <w:szCs w:val="20"/>
        </w:rPr>
      </w:pPr>
      <w:r>
        <w:rPr>
          <w:rFonts w:hint="eastAsia" w:ascii="Times New Roman" w:hAnsi="Times New Roman" w:eastAsia="宋体"/>
          <w:sz w:val="20"/>
          <w:szCs w:val="20"/>
        </w:rPr>
        <w:t>5、细胞运输途中出现冻存管破损、融化等问题，予以重发（需及时拍照反馈）；</w:t>
      </w:r>
    </w:p>
    <w:p w14:paraId="61B467A8">
      <w:pPr>
        <w:rPr>
          <w:rFonts w:ascii="Times New Roman" w:hAnsi="Times New Roman" w:eastAsia="宋体"/>
          <w:sz w:val="20"/>
          <w:szCs w:val="20"/>
        </w:rPr>
      </w:pPr>
      <w:r>
        <w:rPr>
          <w:rFonts w:hint="eastAsia" w:ascii="Times New Roman" w:hAnsi="Times New Roman" w:eastAsia="宋体"/>
          <w:sz w:val="20"/>
          <w:szCs w:val="20"/>
        </w:rPr>
        <w:t>6、因外源试剂导致细胞培养出现问题或污染的，不予重发；</w:t>
      </w:r>
    </w:p>
    <w:p w14:paraId="60F97D08">
      <w:pPr>
        <w:rPr>
          <w:rFonts w:ascii="Times New Roman" w:hAnsi="Times New Roman" w:eastAsia="宋体"/>
          <w:sz w:val="20"/>
          <w:szCs w:val="20"/>
        </w:rPr>
      </w:pPr>
      <w:r>
        <w:rPr>
          <w:rFonts w:hint="eastAsia" w:ascii="Times New Roman" w:hAnsi="Times New Roman" w:eastAsia="宋体"/>
          <w:sz w:val="20"/>
          <w:szCs w:val="20"/>
        </w:rPr>
        <w:t>7、细胞复苏和培养过程中出现问题，反馈不及时（默认收到细胞后一周内无反馈）且无法提供复苏后状态图片的，不予免费重发；</w:t>
      </w:r>
    </w:p>
    <w:p w14:paraId="5E3E966A">
      <w:pPr>
        <w:rPr>
          <w:rFonts w:ascii="Times New Roman" w:hAnsi="Times New Roman" w:eastAsia="宋体"/>
          <w:sz w:val="20"/>
          <w:szCs w:val="20"/>
        </w:rPr>
      </w:pPr>
      <w:r>
        <w:rPr>
          <w:rFonts w:hint="eastAsia" w:ascii="Times New Roman" w:hAnsi="Times New Roman" w:eastAsia="宋体"/>
          <w:sz w:val="20"/>
          <w:szCs w:val="20"/>
        </w:rPr>
        <w:t>8、非细胞出厂质量问题，因客户自身操作导致细胞死亡的，自收货日起一个月内可申请低价二次购买折扣（原代细胞除外）；</w:t>
      </w:r>
    </w:p>
    <w:p w14:paraId="221D39AD">
      <w:pPr>
        <w:rPr>
          <w:rFonts w:ascii="Times New Roman" w:hAnsi="Times New Roman" w:eastAsia="宋体"/>
          <w:sz w:val="20"/>
          <w:szCs w:val="20"/>
        </w:rPr>
      </w:pPr>
      <w:r>
        <w:rPr>
          <w:rFonts w:hint="eastAsia" w:ascii="Times New Roman" w:hAnsi="Times New Roman" w:eastAsia="宋体"/>
          <w:sz w:val="20"/>
          <w:szCs w:val="20"/>
        </w:rPr>
        <w:t>9、细胞相关实验受培养基及血清品牌、操作习惯、培养瓶品牌等多种因素影响，因非细胞鉴定问题导致实验数据不理想的，不予退换细胞；</w:t>
      </w:r>
    </w:p>
    <w:p w14:paraId="563A5B2B">
      <w:pPr>
        <w:rPr>
          <w:rFonts w:ascii="Times New Roman" w:hAnsi="Times New Roman" w:eastAsia="宋体"/>
          <w:sz w:val="20"/>
          <w:szCs w:val="20"/>
        </w:rPr>
      </w:pPr>
      <w:r>
        <w:rPr>
          <w:rFonts w:hint="eastAsia" w:ascii="Times New Roman" w:hAnsi="Times New Roman" w:eastAsia="宋体"/>
          <w:sz w:val="20"/>
          <w:szCs w:val="20"/>
        </w:rPr>
        <w:t>10、细胞系与对应专用培养基一起购买的，自收货日起一个月内可享受无条件售后（原代细胞不参与）；</w:t>
      </w:r>
    </w:p>
    <w:p w14:paraId="17C858BD">
      <w:pPr>
        <w:rPr>
          <w:rFonts w:hint="eastAsia"/>
          <w:sz w:val="20"/>
          <w:szCs w:val="20"/>
        </w:rPr>
      </w:pPr>
      <w:r>
        <w:rPr>
          <w:rFonts w:hint="eastAsia" w:ascii="Times New Roman" w:hAnsi="Times New Roman" w:eastAsia="宋体"/>
          <w:sz w:val="20"/>
          <w:szCs w:val="20"/>
        </w:rPr>
        <w:t>11、请保留细胞/培养基标签上的二维码，需售后或技术支持时可扫描相关二维码与我司联系。</w:t>
      </w:r>
    </w:p>
    <w:p w14:paraId="16687591">
      <w:pPr>
        <w:rPr>
          <w:rFonts w:hint="eastAsia"/>
        </w:rPr>
      </w:pPr>
    </w:p>
    <w:p w14:paraId="5828D42B">
      <w:pPr>
        <w:adjustRightInd w:val="0"/>
        <w:snapToGrid w:val="0"/>
        <w:spacing w:before="156" w:beforeLines="50" w:after="156" w:afterLines="50" w:line="240" w:lineRule="auto"/>
        <w:rPr>
          <w:rFonts w:hint="eastAsia" w:ascii="黑体" w:hAnsi="黑体" w:eastAsia="黑体"/>
          <w:sz w:val="28"/>
          <w:szCs w:val="28"/>
        </w:rPr>
      </w:pPr>
      <w:r>
        <w:rPr>
          <w:rFonts w:hint="eastAsia" w:ascii="黑体" w:hAnsi="黑体" w:eastAsia="黑体"/>
          <w:sz w:val="28"/>
          <w:szCs w:val="28"/>
        </w:rPr>
        <w:t>七、参考文献</w:t>
      </w:r>
    </w:p>
    <w:p w14:paraId="7C011583">
      <w:pPr>
        <w:rPr>
          <w:rFonts w:hint="eastAsia"/>
        </w:rPr>
      </w:pPr>
      <w:r>
        <w:rPr>
          <w:rFonts w:hint="eastAsia"/>
        </w:rPr>
        <w:t>1. Li F, Zhang S, Zhu H, Xie T, Yang Y, Wang A, Guo D. Hsa_circ_0002111 implicates KTC-1 cell motility and modulates migration and invasion via miR-432-5p/CDKN2B axis. Sci Rep. 2026 Apr 22;16(1):18751. doi: 10.1038/s41598-026-49341-1. PMID: 42020488; PMCID: PMC13273202.</w:t>
      </w:r>
    </w:p>
    <w:p w14:paraId="13ADAF10">
      <w:pPr>
        <w:rPr>
          <w:rFonts w:hint="eastAsia"/>
        </w:rPr>
      </w:pPr>
      <w:r>
        <w:rPr>
          <w:rFonts w:hint="eastAsia"/>
          <w:lang w:val="en-US" w:eastAsia="zh-CN"/>
        </w:rPr>
        <w:t>2.</w:t>
      </w:r>
      <w:r>
        <w:rPr>
          <w:rFonts w:hint="eastAsia"/>
        </w:rPr>
        <w:t>Ye X, Chen M, Zhong J, Chen H, Lin X. Kuntai Capsules Improve Premature Ovarian Failure by Regulating AMPK-Mediated Autophagy. Reprod Sci. 2025 Sep;32(9):2970-2984. doi: 10.1007/s43032-025-01949-w. Epub 2025 Aug 11. PMID: 40789984; PMCID: PMC12443895.</w:t>
      </w:r>
    </w:p>
    <w:p w14:paraId="139F59F9">
      <w:pPr>
        <w:rPr>
          <w:rFonts w:hint="eastAsia"/>
        </w:rPr>
      </w:pPr>
      <w:r>
        <w:rPr>
          <w:rFonts w:hint="eastAsia"/>
          <w:lang w:val="en-US" w:eastAsia="zh-CN"/>
        </w:rPr>
        <w:t>3.</w:t>
      </w:r>
      <w:r>
        <w:rPr>
          <w:rFonts w:hint="eastAsia"/>
        </w:rPr>
        <w:t>Shi LH, Xie L, Yu JG, Wei YT, Chen J, Fang L, Lu XX, Zhang J, Yu X, Yu H, Wang Y. Study on the anti-tumor effect of Wall-broken ganoderma lucidum spore powder on papillary thyroid cancer. Sci Rep. 2025 Dec 15;15(1):43798. doi: 10.1038/s41598-025-27791-3. PMID: 41398186; PMCID: PMC12706039.</w:t>
      </w:r>
    </w:p>
    <w:p w14:paraId="24758F4A">
      <w:pPr>
        <w:rPr>
          <w:rFonts w:hint="eastAsia"/>
        </w:rPr>
      </w:pPr>
      <w:r>
        <w:rPr>
          <w:rFonts w:hint="eastAsia"/>
          <w:lang w:val="en-US" w:eastAsia="zh-CN"/>
        </w:rPr>
        <w:t>4.</w:t>
      </w:r>
      <w:r>
        <w:rPr>
          <w:rFonts w:hint="eastAsia"/>
        </w:rPr>
        <w:t>Su Y, Xu B, Gao C, Pei W, Ma M, Zhang W, Hu T, Zhang F, Zhang S. HNF4α-Mediated LINC02560 Promotes Papillary Thyroid Carcinoma Progression by Targeting the miR-505-5p/PDE4C Axis. Biomolecules. 2025 Apr 28;15(5):630. doi: 10.3390/biom15050630. PMID: 40427523; PMCID: PMC12108885.</w:t>
      </w:r>
    </w:p>
    <w:p w14:paraId="09E84D20">
      <w:pPr>
        <w:rPr>
          <w:rFonts w:hint="eastAsia"/>
        </w:rPr>
      </w:pPr>
      <w:r>
        <w:rPr>
          <w:rFonts w:hint="eastAsia"/>
          <w:lang w:val="en-US" w:eastAsia="zh-CN"/>
        </w:rPr>
        <w:t>5.</w:t>
      </w:r>
      <w:r>
        <w:rPr>
          <w:rFonts w:hint="eastAsia"/>
        </w:rPr>
        <w:t>Zhang H, Zhou L, Wang S, Yao D, Ma J, Hu X, Zhang W, Tao M, Wang M, Lu W. PTTG1IP Orchestrates Epithelial-Mesenchymal Transition and DNA Damage Response in Thyroid Cancer Progression. Front Biosci (Landmark Ed). 2025 Sep 23;30(9):44789. doi: 10.31083/FBL44789. PMID: 41074439.</w:t>
      </w:r>
    </w:p>
    <w:p w14:paraId="13F80D96">
      <w:pPr>
        <w:rPr>
          <w:rFonts w:hint="eastAsia"/>
        </w:rPr>
      </w:pPr>
      <w:r>
        <w:rPr>
          <w:rFonts w:hint="eastAsia"/>
          <w:lang w:val="en-US" w:eastAsia="zh-CN"/>
        </w:rPr>
        <w:t>6.</w:t>
      </w:r>
      <w:r>
        <w:rPr>
          <w:rFonts w:hint="eastAsia"/>
        </w:rPr>
        <w:t>Liu R, Lv X, Wang H, Zhang Y, Cao Z, Zou L, Liu Z, Zhang C. Targeting syndecan-2 inhibits papillary thyroid cancer invasiveness and de-differentiation. BMC Endocr Disord. 2025 Oct 28;25(1):242. doi: 10.1186/s12902-025-02055-3. PMID: 41152817; PMCID: PMC12570805.</w:t>
      </w:r>
    </w:p>
    <w:p w14:paraId="16BFDDE7">
      <w:pPr>
        <w:rPr>
          <w:rFonts w:hint="eastAsia"/>
        </w:rPr>
      </w:pPr>
      <w:r>
        <w:rPr>
          <w:rFonts w:hint="eastAsia"/>
          <w:lang w:val="en-US" w:eastAsia="zh-CN"/>
        </w:rPr>
        <w:t>7.</w:t>
      </w:r>
      <w:r>
        <w:rPr>
          <w:rFonts w:hint="eastAsia"/>
        </w:rPr>
        <w:t>Wang C, Yuan P, Yang D, Liu B, Liang J. TIMELESS deficiency sensitizes thyroid cancer to cisplatin treatment via the DNA damage repair pathway. Transl Oncol. 2025 Nov;61:102504. doi: 10.1016/j.tranon.2025.102504. Epub 2025 Aug 16. PMID: 40819422; PMCID: PMC12391424.</w:t>
      </w:r>
    </w:p>
    <w:p w14:paraId="2CC646C4">
      <w:pPr>
        <w:rPr>
          <w:rFonts w:hint="eastAsia"/>
        </w:rPr>
      </w:pPr>
      <w:r>
        <w:rPr>
          <w:rFonts w:hint="eastAsia"/>
          <w:lang w:val="en-US" w:eastAsia="zh-CN"/>
        </w:rPr>
        <w:t>8.</w:t>
      </w:r>
      <w:r>
        <w:rPr>
          <w:rFonts w:hint="eastAsia"/>
        </w:rPr>
        <w:t>You MH, Lee WK, Jin M, Song DE, Cheng SY, Kim TY, Kim WB, Jeon MJ, Kim WG. Death-Associated Protein Kinase 1 Inhibits Progression of Thyroid Cancer by Regulating Stem Cell Markers. Cells. 2021 Nov 3;10(11):2994. doi: 10.3390/cells10112994. PMID: 34831219; PMCID: PMC8616132.</w:t>
      </w:r>
    </w:p>
    <w:p w14:paraId="0DEDBF62">
      <w:pPr>
        <w:rPr>
          <w:rFonts w:hint="eastAsia"/>
        </w:rPr>
      </w:pPr>
      <w:r>
        <w:rPr>
          <w:rFonts w:hint="eastAsia"/>
          <w:lang w:val="en-US" w:eastAsia="zh-CN"/>
        </w:rPr>
        <w:t>9.</w:t>
      </w:r>
      <w:r>
        <w:rPr>
          <w:rFonts w:hint="eastAsia"/>
        </w:rPr>
        <w:t>Luo NF, Li JL, Lv J, Chen FK, Li YN, Tang M, Liu PJ. Role of sodium/iodide symporter overexpression in inhibiting thyroid cancer cell invasion and stem cell maintenance by inhibiting the β-catenin/LEF-1 pathway. Heliyon. 2024 Mar 14;10(6):e27840. doi: 10.1016/j.heliyon.2024.e27840. PMID: 38545139; PMCID: PMC10965522.</w:t>
      </w:r>
    </w:p>
    <w:p w14:paraId="0FE09B9F">
      <w:pPr>
        <w:rPr>
          <w:rFonts w:hint="default" w:ascii="Segoe UI" w:hAnsi="Segoe UI" w:eastAsia="宋体" w:cs="Segoe UI"/>
          <w:i w:val="0"/>
          <w:iCs w:val="0"/>
          <w:caps w:val="0"/>
          <w:color w:val="212121"/>
          <w:spacing w:val="0"/>
          <w:sz w:val="24"/>
          <w:szCs w:val="24"/>
          <w:shd w:val="clear" w:fill="FFFFFF"/>
          <w:lang w:val="en-US" w:eastAsia="zh-CN"/>
        </w:rPr>
      </w:pPr>
      <w:r>
        <w:rPr>
          <w:rFonts w:hint="eastAsia"/>
          <w:lang w:val="en-US" w:eastAsia="zh-CN"/>
        </w:rPr>
        <w:t>10.</w:t>
      </w:r>
      <w:r>
        <w:rPr>
          <w:rFonts w:hint="eastAsia"/>
        </w:rPr>
        <w:t>Ma P, Han J. Overexpression of miR-100-5p inhibits papillary thyroid cancer progression via targeting FZD8. Open Med (Wars). 2022 Jul 6;17(1):1172-1182. doi: 10.1515/med-2022-0490. PMID: 35859793; PMCID: PMC9263890.</w:t>
      </w:r>
    </w:p>
    <w:p w14:paraId="50A32E09">
      <w:pPr>
        <w:rPr>
          <w:rFonts w:hint="eastAsia"/>
        </w:rPr>
      </w:pPr>
      <w:r>
        <w:rPr>
          <w:rFonts w:hint="eastAsia"/>
        </w:rPr>
        <w:drawing>
          <wp:inline distT="0" distB="0" distL="0" distR="0">
            <wp:extent cx="1358265" cy="1349375"/>
            <wp:effectExtent l="0" t="0" r="0" b="3175"/>
            <wp:docPr id="1998081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8107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64988" cy="1356160"/>
                    </a:xfrm>
                    <a:prstGeom prst="rect">
                      <a:avLst/>
                    </a:prstGeom>
                    <a:noFill/>
                  </pic:spPr>
                </pic:pic>
              </a:graphicData>
            </a:graphic>
          </wp:inline>
        </w:drawing>
      </w:r>
    </w:p>
    <w:p w14:paraId="51D72D2E">
      <w:pPr>
        <w:rPr>
          <w:rFonts w:hint="eastAsia"/>
          <w:sz w:val="18"/>
          <w:szCs w:val="18"/>
        </w:rPr>
      </w:pPr>
      <w:r>
        <w:rPr>
          <w:rFonts w:hint="eastAsia"/>
          <w:sz w:val="18"/>
          <w:szCs w:val="18"/>
        </w:rPr>
        <w:t>公众号获取更多资讯</w:t>
      </w:r>
    </w:p>
    <w:p w14:paraId="46ED1A9F">
      <w:pPr>
        <w:rPr>
          <w:rFonts w:hint="eastAsia"/>
          <w:sz w:val="18"/>
          <w:szCs w:val="18"/>
        </w:rPr>
      </w:pPr>
      <w:r>
        <w:rPr>
          <w:rFonts w:hint="eastAsia"/>
          <w:sz w:val="18"/>
          <w:szCs w:val="18"/>
        </w:rPr>
        <w:t>公司电话：</w:t>
      </w:r>
      <w:r>
        <w:rPr>
          <w:sz w:val="18"/>
          <w:szCs w:val="18"/>
        </w:rPr>
        <w:t>13267055948</w:t>
      </w:r>
      <w:r>
        <w:rPr>
          <w:sz w:val="18"/>
          <w:szCs w:val="18"/>
        </w:rPr>
        <w:br w:type="textWrapping"/>
      </w:r>
      <w:r>
        <w:rPr>
          <w:rFonts w:hint="eastAsia"/>
          <w:sz w:val="18"/>
          <w:szCs w:val="18"/>
        </w:rPr>
        <w:t>联系</w:t>
      </w:r>
      <w:r>
        <w:rPr>
          <w:sz w:val="18"/>
          <w:szCs w:val="18"/>
        </w:rPr>
        <w:t>QQ</w:t>
      </w:r>
      <w:r>
        <w:rPr>
          <w:rFonts w:hint="eastAsia"/>
          <w:sz w:val="18"/>
          <w:szCs w:val="18"/>
        </w:rPr>
        <w:t>：</w:t>
      </w:r>
      <w:r>
        <w:rPr>
          <w:sz w:val="18"/>
          <w:szCs w:val="18"/>
        </w:rPr>
        <w:t>2782468779</w:t>
      </w:r>
      <w:r>
        <w:rPr>
          <w:sz w:val="18"/>
          <w:szCs w:val="18"/>
        </w:rPr>
        <w:br w:type="textWrapping"/>
      </w:r>
      <w:r>
        <w:rPr>
          <w:rFonts w:hint="eastAsia"/>
          <w:sz w:val="18"/>
          <w:szCs w:val="18"/>
        </w:rPr>
        <w:t>电子邮箱：info@genecarer.com</w:t>
      </w:r>
    </w:p>
    <w:p w14:paraId="11232898">
      <w:pPr>
        <w:rPr>
          <w:rFonts w:hint="eastAsia"/>
          <w:sz w:val="18"/>
          <w:szCs w:val="18"/>
        </w:rPr>
      </w:pPr>
      <w:r>
        <w:rPr>
          <w:rFonts w:hint="eastAsia"/>
          <w:sz w:val="18"/>
          <w:szCs w:val="18"/>
        </w:rPr>
        <w:t>公司官网：</w:t>
      </w:r>
      <w:r>
        <w:fldChar w:fldCharType="begin"/>
      </w:r>
      <w:r>
        <w:instrText xml:space="preserve"> HYPERLINK "https://www.genecarersz.com/" </w:instrText>
      </w:r>
      <w:r>
        <w:fldChar w:fldCharType="separate"/>
      </w:r>
      <w:r>
        <w:rPr>
          <w:rStyle w:val="20"/>
          <w:sz w:val="18"/>
          <w:szCs w:val="18"/>
        </w:rPr>
        <w:t>https://www.genecarersz.com/</w:t>
      </w:r>
      <w:r>
        <w:rPr>
          <w:rStyle w:val="20"/>
          <w:sz w:val="18"/>
          <w:szCs w:val="18"/>
        </w:rPr>
        <w:fldChar w:fldCharType="end"/>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AF141">
    <w:pPr>
      <w:widowControl/>
      <w:kinsoku w:val="0"/>
      <w:autoSpaceDE w:val="0"/>
      <w:autoSpaceDN w:val="0"/>
      <w:adjustRightInd w:val="0"/>
      <w:snapToGrid w:val="0"/>
      <w:spacing w:before="78" w:after="0" w:line="230" w:lineRule="auto"/>
      <w:ind w:left="16"/>
      <w:jc w:val="center"/>
      <w:textAlignment w:val="baseline"/>
      <w:rPr>
        <w:rFonts w:hint="eastAsia" w:ascii="微软雅黑" w:hAnsi="微软雅黑" w:eastAsia="微软雅黑" w:cs="微软雅黑"/>
        <w:snapToGrid w:val="0"/>
        <w:color w:val="2E75B5"/>
        <w:spacing w:val="-1"/>
        <w:kern w:val="0"/>
        <w:sz w:val="18"/>
        <w:szCs w:val="18"/>
        <w:u w:val="single"/>
        <w14:ligatures w14:val="none"/>
      </w:rPr>
    </w:pPr>
    <w:r>
      <w:rPr>
        <w:rFonts w:hint="eastAsia" w:ascii="微软雅黑" w:hAnsi="微软雅黑" w:eastAsia="微软雅黑" w:cs="微软雅黑"/>
        <w:snapToGrid w:val="0"/>
        <w:color w:val="2E75B5"/>
        <w:spacing w:val="-1"/>
        <w:kern w:val="0"/>
        <w:sz w:val="18"/>
        <w:szCs w:val="18"/>
        <w:u w:val="single"/>
        <w14:ligatures w14:val="none"/>
      </w:rPr>
      <w:t>基</w:t>
    </w:r>
    <w:r>
      <w:rPr>
        <w:rFonts w:ascii="微软雅黑" w:hAnsi="微软雅黑" w:eastAsia="微软雅黑" w:cs="微软雅黑"/>
        <w:snapToGrid w:val="0"/>
        <w:color w:val="2E75B5"/>
        <w:spacing w:val="-1"/>
        <w:kern w:val="0"/>
        <w:sz w:val="18"/>
        <w:szCs w:val="18"/>
        <w:u w:val="single"/>
        <w14:ligatures w14:val="none"/>
      </w:rPr>
      <w:t>因修饰细胞（敲除、敲入、点突变）</w:t>
    </w:r>
    <w:r>
      <w:rPr>
        <w:rFonts w:hint="eastAsia" w:ascii="微软雅黑" w:hAnsi="微软雅黑" w:eastAsia="微软雅黑" w:cs="微软雅黑"/>
        <w:snapToGrid w:val="0"/>
        <w:color w:val="2E75B5"/>
        <w:spacing w:val="-1"/>
        <w:kern w:val="0"/>
        <w:sz w:val="18"/>
        <w:szCs w:val="18"/>
        <w:u w:val="single"/>
        <w14:ligatures w14:val="none"/>
      </w:rPr>
      <w:t xml:space="preserve"> </w:t>
    </w:r>
    <w:r>
      <w:rPr>
        <w:rFonts w:ascii="微软雅黑" w:hAnsi="微软雅黑" w:eastAsia="微软雅黑" w:cs="微软雅黑"/>
        <w:snapToGrid w:val="0"/>
        <w:color w:val="2E75B5"/>
        <w:kern w:val="0"/>
        <w:sz w:val="18"/>
        <w:szCs w:val="18"/>
        <w:u w:val="single"/>
        <w14:ligatures w14:val="none"/>
      </w:rPr>
      <w:t>基础实验服务（动物实验、载体构建</w:t>
    </w:r>
    <w:r>
      <w:rPr>
        <w:rFonts w:hint="eastAsia" w:ascii="微软雅黑" w:hAnsi="微软雅黑" w:eastAsia="微软雅黑" w:cs="微软雅黑"/>
        <w:snapToGrid w:val="0"/>
        <w:color w:val="2E75B5"/>
        <w:kern w:val="0"/>
        <w:sz w:val="18"/>
        <w:szCs w:val="18"/>
        <w:u w:val="single"/>
        <w14:ligatures w14:val="none"/>
      </w:rPr>
      <w:t>）</w:t>
    </w:r>
  </w:p>
  <w:p w14:paraId="0DA63B75">
    <w:pPr>
      <w:widowControl/>
      <w:kinsoku w:val="0"/>
      <w:autoSpaceDE w:val="0"/>
      <w:autoSpaceDN w:val="0"/>
      <w:adjustRightInd w:val="0"/>
      <w:snapToGrid w:val="0"/>
      <w:spacing w:before="78" w:after="0" w:line="230" w:lineRule="auto"/>
      <w:ind w:left="16"/>
      <w:jc w:val="center"/>
      <w:textAlignment w:val="baseline"/>
      <w:rPr>
        <w:rFonts w:hint="eastAsia" w:ascii="微软雅黑" w:hAnsi="微软雅黑" w:eastAsia="微软雅黑" w:cs="微软雅黑"/>
        <w:snapToGrid w:val="0"/>
        <w:color w:val="2E75B5"/>
        <w:kern w:val="0"/>
        <w:sz w:val="18"/>
        <w:szCs w:val="18"/>
        <w14:ligatures w14:val="none"/>
      </w:rPr>
    </w:pPr>
    <w:r>
      <w:rPr>
        <w:rFonts w:ascii="微软雅黑" w:hAnsi="微软雅黑" w:eastAsia="微软雅黑" w:cs="微软雅黑"/>
        <w:snapToGrid w:val="0"/>
        <w:color w:val="2E75B5"/>
        <w:spacing w:val="-1"/>
        <w:kern w:val="0"/>
        <w:sz w:val="18"/>
        <w:szCs w:val="18"/>
        <w:u w:val="single"/>
        <w14:ligatures w14:val="none"/>
      </w:rPr>
      <w:t>病毒包装（慢病毒</w:t>
    </w:r>
    <w:r>
      <w:rPr>
        <w:rFonts w:ascii="微软雅黑" w:hAnsi="微软雅黑" w:eastAsia="微软雅黑" w:cs="微软雅黑"/>
        <w:snapToGrid w:val="0"/>
        <w:color w:val="2E75B5"/>
        <w:spacing w:val="-2"/>
        <w:kern w:val="0"/>
        <w:sz w:val="18"/>
        <w:szCs w:val="18"/>
        <w:u w:val="single"/>
        <w14:ligatures w14:val="none"/>
      </w:rPr>
      <w:t>、非整合慢病毒、腺病毒、腺相关病毒</w:t>
    </w:r>
    <w:r>
      <w:rPr>
        <w:rFonts w:hint="eastAsia" w:ascii="微软雅黑" w:hAnsi="微软雅黑" w:eastAsia="微软雅黑" w:cs="微软雅黑"/>
        <w:snapToGrid w:val="0"/>
        <w:color w:val="2E75B5"/>
        <w:spacing w:val="-2"/>
        <w:kern w:val="0"/>
        <w:sz w:val="18"/>
        <w:szCs w:val="18"/>
        <w:u w:val="single"/>
        <w14:ligatures w14:val="none"/>
      </w:rPr>
      <w:t>、病毒样颗粒蛋白、脂质体纳米颗粒</w:t>
    </w:r>
    <w:r>
      <w:rPr>
        <w:rFonts w:ascii="微软雅黑" w:hAnsi="微软雅黑" w:eastAsia="微软雅黑" w:cs="微软雅黑"/>
        <w:snapToGrid w:val="0"/>
        <w:color w:val="2E75B5"/>
        <w:spacing w:val="-2"/>
        <w:kern w:val="0"/>
        <w:sz w:val="18"/>
        <w:szCs w:val="18"/>
        <w:u w:val="single"/>
        <w14:ligatures w14:val="none"/>
      </w:rPr>
      <w:t>）</w:t>
    </w:r>
    <w:r>
      <w:rPr>
        <w:rFonts w:ascii="微软雅黑" w:hAnsi="微软雅黑" w:eastAsia="微软雅黑" w:cs="微软雅黑"/>
        <w:snapToGrid w:val="0"/>
        <w:color w:val="2E75B5"/>
        <w:kern w:val="0"/>
        <w:sz w:val="18"/>
        <w:szCs w:val="18"/>
        <w14:ligatures w14:val="none"/>
      </w:rPr>
      <w:t xml:space="preserve"> </w:t>
    </w:r>
    <w:r>
      <w:rPr>
        <w:rFonts w:hint="eastAsia" w:ascii="微软雅黑" w:hAnsi="微软雅黑" w:eastAsia="微软雅黑" w:cs="微软雅黑"/>
        <w:snapToGrid w:val="0"/>
        <w:color w:val="2E75B5"/>
        <w:kern w:val="0"/>
        <w:sz w:val="18"/>
        <w:szCs w:val="18"/>
        <w14:ligatures w14:val="none"/>
      </w:rPr>
      <w:t xml:space="preserve">                               </w:t>
    </w:r>
  </w:p>
  <w:p w14:paraId="3D43C043">
    <w:pPr>
      <w:widowControl/>
      <w:kinsoku w:val="0"/>
      <w:autoSpaceDE w:val="0"/>
      <w:autoSpaceDN w:val="0"/>
      <w:adjustRightInd w:val="0"/>
      <w:snapToGrid w:val="0"/>
      <w:spacing w:before="78" w:after="0" w:line="230" w:lineRule="auto"/>
      <w:ind w:left="16"/>
      <w:jc w:val="center"/>
      <w:textAlignment w:val="baseline"/>
      <w:rPr>
        <w:rFonts w:ascii="Arial" w:hAnsi="Arial" w:eastAsia="Arial" w:cs="Arial"/>
        <w:snapToGrid w:val="0"/>
        <w:color w:val="000000"/>
        <w:kern w:val="0"/>
        <w:sz w:val="21"/>
        <w:szCs w:val="21"/>
        <w14:ligatures w14:val="none"/>
      </w:rPr>
    </w:pPr>
    <w:r>
      <w:rPr>
        <w:rFonts w:hint="eastAsia" w:ascii="微软雅黑" w:hAnsi="微软雅黑" w:eastAsia="微软雅黑" w:cs="微软雅黑"/>
        <w:snapToGrid w:val="0"/>
        <w:color w:val="2E75B5"/>
        <w:kern w:val="0"/>
        <w:sz w:val="18"/>
        <w:szCs w:val="18"/>
        <w:u w:val="single"/>
        <w14:ligatures w14:val="none"/>
      </w:rPr>
      <w:t>试剂</w:t>
    </w:r>
    <w:r>
      <w:rPr>
        <w:rFonts w:ascii="微软雅黑" w:hAnsi="微软雅黑" w:eastAsia="微软雅黑" w:cs="微软雅黑"/>
        <w:snapToGrid w:val="0"/>
        <w:color w:val="2E75B5"/>
        <w:kern w:val="0"/>
        <w:sz w:val="18"/>
        <w:szCs w:val="18"/>
        <w:u w:val="single"/>
        <w14:ligatures w14:val="none"/>
      </w:rPr>
      <w:t>（</w:t>
    </w:r>
    <w:r>
      <w:rPr>
        <w:rFonts w:hint="eastAsia" w:ascii="微软雅黑" w:hAnsi="微软雅黑" w:eastAsia="微软雅黑" w:cs="微软雅黑"/>
        <w:snapToGrid w:val="0"/>
        <w:color w:val="2E75B5"/>
        <w:kern w:val="0"/>
        <w:sz w:val="18"/>
        <w:szCs w:val="18"/>
        <w:u w:val="single"/>
        <w14:ligatures w14:val="none"/>
      </w:rPr>
      <w:t>常规试剂</w:t>
    </w:r>
    <w:r>
      <w:rPr>
        <w:rFonts w:ascii="微软雅黑" w:hAnsi="微软雅黑" w:eastAsia="微软雅黑" w:cs="微软雅黑"/>
        <w:snapToGrid w:val="0"/>
        <w:color w:val="2E75B5"/>
        <w:kern w:val="0"/>
        <w:sz w:val="18"/>
        <w:szCs w:val="18"/>
        <w:u w:val="single"/>
        <w14:ligatures w14:val="none"/>
      </w:rPr>
      <w:t>、</w:t>
    </w:r>
    <w:r>
      <w:rPr>
        <w:rFonts w:hint="eastAsia" w:ascii="微软雅黑" w:hAnsi="微软雅黑" w:eastAsia="微软雅黑" w:cs="微软雅黑"/>
        <w:snapToGrid w:val="0"/>
        <w:color w:val="2E75B5"/>
        <w:kern w:val="0"/>
        <w:sz w:val="18"/>
        <w:szCs w:val="18"/>
        <w:u w:val="single"/>
        <w14:ligatures w14:val="none"/>
      </w:rPr>
      <w:t>感受态、基因敲除敲入点突变试剂盒、滴度检测试剂盒</w:t>
    </w:r>
    <w:r>
      <w:rPr>
        <w:rFonts w:ascii="微软雅黑" w:hAnsi="微软雅黑" w:eastAsia="微软雅黑" w:cs="微软雅黑"/>
        <w:snapToGrid w:val="0"/>
        <w:color w:val="2E75B5"/>
        <w:spacing w:val="-1"/>
        <w:kern w:val="0"/>
        <w:sz w:val="18"/>
        <w:szCs w:val="18"/>
        <w:u w:val="single"/>
        <w14:ligatures w14:val="none"/>
      </w:rPr>
      <w:t>）</w:t>
    </w:r>
  </w:p>
  <w:p w14:paraId="6B338C20">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2293B">
    <w:pPr>
      <w:pStyle w:val="13"/>
      <w:rPr>
        <w:rFonts w:hint="eastAsia"/>
      </w:rPr>
    </w:pPr>
    <w:r>
      <w:drawing>
        <wp:inline distT="0" distB="0" distL="114300" distR="114300">
          <wp:extent cx="4179570" cy="325120"/>
          <wp:effectExtent l="0" t="0" r="0" b="0"/>
          <wp:docPr id="10997719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71929" name="图片 11"/>
                  <pic:cNvPicPr>
                    <a:picLocks noChangeAspect="1"/>
                  </pic:cNvPicPr>
                </pic:nvPicPr>
                <pic:blipFill>
                  <a:blip r:embed="rId1"/>
                  <a:stretch>
                    <a:fillRect/>
                  </a:stretch>
                </pic:blipFill>
                <pic:spPr>
                  <a:xfrm>
                    <a:off x="0" y="0"/>
                    <a:ext cx="4363890" cy="3394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BC4B125B-295E-4C7F-9E84-F8266F890492}"/>
    <w:docVar w:name="KY_MEDREF_VERSION" w:val="3"/>
  </w:docVars>
  <w:rsids>
    <w:rsidRoot w:val="00806D66"/>
    <w:rsid w:val="000202A6"/>
    <w:rsid w:val="000D7DD3"/>
    <w:rsid w:val="001B16AE"/>
    <w:rsid w:val="0023604F"/>
    <w:rsid w:val="002709CD"/>
    <w:rsid w:val="002F202F"/>
    <w:rsid w:val="003114ED"/>
    <w:rsid w:val="00353C88"/>
    <w:rsid w:val="00372C9C"/>
    <w:rsid w:val="00390A96"/>
    <w:rsid w:val="00525D05"/>
    <w:rsid w:val="00545553"/>
    <w:rsid w:val="00633538"/>
    <w:rsid w:val="007328DD"/>
    <w:rsid w:val="00796D08"/>
    <w:rsid w:val="00806D66"/>
    <w:rsid w:val="00971976"/>
    <w:rsid w:val="009B7C5A"/>
    <w:rsid w:val="009F79F2"/>
    <w:rsid w:val="00A0347A"/>
    <w:rsid w:val="00A30C6C"/>
    <w:rsid w:val="00AC39F1"/>
    <w:rsid w:val="00B55403"/>
    <w:rsid w:val="00BD3416"/>
    <w:rsid w:val="00CC7654"/>
    <w:rsid w:val="00CE17B2"/>
    <w:rsid w:val="00CF41D5"/>
    <w:rsid w:val="00D96F3D"/>
    <w:rsid w:val="00DA3E2F"/>
    <w:rsid w:val="00E447F2"/>
    <w:rsid w:val="00EC18B2"/>
    <w:rsid w:val="00ED322B"/>
    <w:rsid w:val="00F82E3D"/>
    <w:rsid w:val="00FA257E"/>
    <w:rsid w:val="0AB17A64"/>
    <w:rsid w:val="34795821"/>
    <w:rsid w:val="5907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6"/>
    <w:semiHidden/>
    <w:unhideWhenUsed/>
    <w:uiPriority w:val="99"/>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7"/>
    <w:semiHidden/>
    <w:unhideWhenUsed/>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uiPriority w:val="99"/>
    <w:rPr>
      <w:sz w:val="21"/>
      <w:szCs w:val="21"/>
    </w:rPr>
  </w:style>
  <w:style w:type="character" w:customStyle="1" w:styleId="22">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19"/>
    <w:link w:val="5"/>
    <w:semiHidden/>
    <w:qFormat/>
    <w:uiPriority w:val="9"/>
    <w:rPr>
      <w:rFonts w:cstheme="majorBidi"/>
      <w:color w:val="2F5597" w:themeColor="accent1" w:themeShade="BF"/>
      <w:sz w:val="28"/>
      <w:szCs w:val="28"/>
    </w:rPr>
  </w:style>
  <w:style w:type="character" w:customStyle="1" w:styleId="26">
    <w:name w:val="标题 5 字符"/>
    <w:basedOn w:val="19"/>
    <w:link w:val="6"/>
    <w:semiHidden/>
    <w:uiPriority w:val="9"/>
    <w:rPr>
      <w:rFonts w:cstheme="majorBidi"/>
      <w:color w:val="2F5597" w:themeColor="accent1" w:themeShade="BF"/>
      <w:sz w:val="24"/>
    </w:rPr>
  </w:style>
  <w:style w:type="character" w:customStyle="1" w:styleId="27">
    <w:name w:val="标题 6 字符"/>
    <w:basedOn w:val="19"/>
    <w:link w:val="7"/>
    <w:semiHidden/>
    <w:qFormat/>
    <w:uiPriority w:val="9"/>
    <w:rPr>
      <w:rFonts w:cstheme="majorBidi"/>
      <w:b/>
      <w:bCs/>
      <w:color w:val="2F5597" w:themeColor="accent1" w:themeShade="BF"/>
    </w:rPr>
  </w:style>
  <w:style w:type="character" w:customStyle="1" w:styleId="28">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19"/>
    <w:link w:val="37"/>
    <w:qFormat/>
    <w:uiPriority w:val="30"/>
    <w:rPr>
      <w:i/>
      <w:iCs/>
      <w:color w:val="2F5597" w:themeColor="accent1" w:themeShade="BF"/>
    </w:rPr>
  </w:style>
  <w:style w:type="character" w:customStyle="1" w:styleId="39">
    <w:name w:val="明显参考1"/>
    <w:basedOn w:val="19"/>
    <w:qFormat/>
    <w:uiPriority w:val="32"/>
    <w:rPr>
      <w:b/>
      <w:bCs/>
      <w:smallCaps/>
      <w:color w:val="2F5597" w:themeColor="accent1" w:themeShade="BF"/>
      <w:spacing w:val="5"/>
    </w:rPr>
  </w:style>
  <w:style w:type="character" w:customStyle="1" w:styleId="40">
    <w:name w:val="页眉 字符"/>
    <w:basedOn w:val="19"/>
    <w:link w:val="13"/>
    <w:qFormat/>
    <w:uiPriority w:val="99"/>
    <w:rPr>
      <w:sz w:val="18"/>
      <w:szCs w:val="18"/>
    </w:rPr>
  </w:style>
  <w:style w:type="character" w:customStyle="1" w:styleId="41">
    <w:name w:val="页脚 字符"/>
    <w:basedOn w:val="19"/>
    <w:link w:val="12"/>
    <w:qFormat/>
    <w:uiPriority w:val="99"/>
    <w:rPr>
      <w:sz w:val="18"/>
      <w:szCs w:val="18"/>
    </w:rPr>
  </w:style>
  <w:style w:type="table" w:customStyle="1" w:styleId="42">
    <w:name w:val="网格型浅色1"/>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table" w:customStyle="1" w:styleId="43">
    <w:name w:val="网格型浅色12"/>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table" w:customStyle="1" w:styleId="44">
    <w:name w:val="网格型浅色11"/>
    <w:basedOn w:val="17"/>
    <w:qFormat/>
    <w:uiPriority w:val="40"/>
    <w:rPr>
      <w:rFonts w:ascii="Times New Roman" w:hAnsi="Times New Roman" w:eastAsia="宋体" w:cs="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style>
  <w:style w:type="character" w:customStyle="1" w:styleId="45">
    <w:name w:val="未处理的提及1"/>
    <w:basedOn w:val="19"/>
    <w:semiHidden/>
    <w:unhideWhenUsed/>
    <w:qFormat/>
    <w:uiPriority w:val="99"/>
    <w:rPr>
      <w:color w:val="605E5C"/>
      <w:shd w:val="clear" w:color="auto" w:fill="E1DFDD"/>
    </w:rPr>
  </w:style>
  <w:style w:type="character" w:customStyle="1" w:styleId="46">
    <w:name w:val="批注文字 字符"/>
    <w:basedOn w:val="19"/>
    <w:link w:val="11"/>
    <w:semiHidden/>
    <w:uiPriority w:val="99"/>
    <w:rPr>
      <w:kern w:val="2"/>
      <w:sz w:val="22"/>
      <w:szCs w:val="24"/>
      <w14:ligatures w14:val="standardContextual"/>
    </w:rPr>
  </w:style>
  <w:style w:type="character" w:customStyle="1" w:styleId="47">
    <w:name w:val="批注主题 字符"/>
    <w:basedOn w:val="46"/>
    <w:link w:val="16"/>
    <w:semiHidden/>
    <w:uiPriority w:val="99"/>
    <w:rPr>
      <w:b/>
      <w:bCs/>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2309</Words>
  <Characters>2972</Characters>
  <Lines>24</Lines>
  <Paragraphs>6</Paragraphs>
  <TotalTime>234</TotalTime>
  <ScaleCrop>false</ScaleCrop>
  <LinksUpToDate>false</LinksUpToDate>
  <CharactersWithSpaces>3068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2025-12-01T08:09:00Z</dcterms:created>
  <dc:creator>yangyang li</dc:creator>
  <cp:lastModifiedBy>王一帆</cp:lastModifiedBy>
  <dcterms:modified xsi:type="dcterms:W3CDTF">2026-08-11T07:05:36Z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eyJoZGlkIjoiODdkNzI2YWVhMmRjNTVhNTZkN2MzOWEyNTg1OWI1OTUiLCJ1c2VySWQiOiIzMDk5Mzk3NDAifQ==</vt:lpwstr>
  </property>
  <property fmtid="{D5CDD505-2E9C-101B-9397-08002B2CF9AE}" pid="3" name="KSOProductBuildVer">
    <vt:lpwstr>2052-12.1.0.28022</vt:lpwstr>
  </property>
  <property fmtid="{D5CDD505-2E9C-101B-9397-08002B2CF9AE}" pid="4" name="ICV">
    <vt:lpwstr>9C7082759A5743018305B177D0D6D573_13</vt:lpwstr>
  </property>
</Properties>
</file>