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1053D">
      <w:pPr>
        <w:adjustRightInd w:val="0"/>
        <w:snapToGrid w:val="0"/>
        <w:spacing w:after="0" w:line="360" w:lineRule="auto"/>
        <w:jc w:val="center"/>
        <w:rPr>
          <w:rFonts w:ascii="Times New Roman" w:hAnsi="Times New Roman" w:eastAsia="黑体"/>
          <w:b/>
          <w:bCs/>
          <w:sz w:val="28"/>
          <w:szCs w:val="28"/>
        </w:rPr>
      </w:pPr>
      <w:bookmarkStart w:id="0" w:name="_Hlk208842777"/>
      <w:bookmarkEnd w:id="0"/>
      <w:r>
        <w:rPr>
          <w:rFonts w:ascii="Times New Roman" w:hAnsi="Times New Roman" w:eastAsia="宋体" w:cs="Times New Roman"/>
          <w:sz w:val="2"/>
        </w:rPr>
        <mc:AlternateContent>
          <mc:Choice Requires="wpg">
            <w:drawing>
              <wp:inline distT="0" distB="0" distL="0" distR="0">
                <wp:extent cx="5274310" cy="2540"/>
                <wp:effectExtent l="0" t="0" r="0" b="0"/>
                <wp:docPr id="3" name="Group 3"/>
                <wp:cNvGraphicFramePr/>
                <a:graphic xmlns:a="http://schemas.openxmlformats.org/drawingml/2006/main">
                  <a:graphicData uri="http://schemas.microsoft.com/office/word/2010/wordprocessingGroup">
                    <wpg:wgp>
                      <wpg:cNvGrpSpPr/>
                      <wpg:grpSpPr>
                        <a:xfrm>
                          <a:off x="0" y="0"/>
                          <a:ext cx="5274310" cy="3014"/>
                          <a:chOff x="0" y="0"/>
                          <a:chExt cx="5555615" cy="3175"/>
                        </a:xfrm>
                      </wpg:grpSpPr>
                      <wps:wsp>
                        <wps:cNvPr id="4" name="Graphic 4"/>
                        <wps:cNvSpPr/>
                        <wps:spPr>
                          <a:xfrm>
                            <a:off x="0" y="1523"/>
                            <a:ext cx="5555615" cy="1270"/>
                          </a:xfrm>
                          <a:custGeom>
                            <a:avLst/>
                            <a:gdLst/>
                            <a:ahLst/>
                            <a:cxnLst/>
                            <a:rect l="l" t="t" r="r" b="b"/>
                            <a:pathLst>
                              <a:path w="5555615">
                                <a:moveTo>
                                  <a:pt x="0" y="0"/>
                                </a:moveTo>
                                <a:lnTo>
                                  <a:pt x="5555615" y="0"/>
                                </a:lnTo>
                              </a:path>
                            </a:pathLst>
                          </a:custGeom>
                          <a:ln w="3048">
                            <a:solidFill>
                              <a:srgbClr val="0064AE"/>
                            </a:solidFill>
                            <a:prstDash val="solid"/>
                          </a:ln>
                        </wps:spPr>
                        <wps:bodyPr wrap="square" lIns="0" tIns="0" rIns="0" bIns="0" rtlCol="0">
                          <a:noAutofit/>
                        </wps:bodyPr>
                      </wps:wsp>
                    </wpg:wgp>
                  </a:graphicData>
                </a:graphic>
              </wp:inline>
            </w:drawing>
          </mc:Choice>
          <mc:Fallback>
            <w:pict>
              <v:group id="Group 3" o:spid="_x0000_s1026" o:spt="203" style="height:0.2pt;width:415.3pt;" coordsize="5555615,3175" o:gfxdata="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3Y34E1AAAAAIBAAAPAAAAAAAAAAEAIAAAACIAAABkcnMvZG93bnJl&#10;di54bWxQSwECFAAUAAAACACHTuJAWqEqxnMCAACnBQAADgAAAAAAAAABACAAAAAjAQAAZHJzL2Uy&#10;b0RvYy54bWxQSwUGAAAAAAYABgBZAQAACAYAAAAA&#10;">
                <o:lock v:ext="edit" aspectratio="f"/>
                <v:shape id="Graphic 4" o:spid="_x0000_s1026" o:spt="100" style="position:absolute;left:0;top:1523;height:1270;width:5555615;" filled="f" stroked="t" coordsize="5555615,1" o:gfxdata="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iz64ugAAANoA&#10;AAAPAAAAAAAAAAEAIAAAACIAAABkcnMvZG93bnJldi54bWxQSwECFAAUAAAACACHTuJAMy8FnjsA&#10;AAA5AAAAEAAAAAAAAAABACAAAAAJAQAAZHJzL3NoYXBleG1sLnhtbFBLBQYAAAAABgAGAFsBAACz&#10;AwAAAAA=&#10;" path="m0,0l5555615,0e">
                  <v:fill on="f" focussize="0,0"/>
                  <v:stroke weight="0.24pt" color="#0064AE" joinstyle="round"/>
                  <v:imagedata o:title=""/>
                  <o:lock v:ext="edit" aspectratio="f"/>
                  <v:textbox inset="0mm,0mm,0mm,0mm"/>
                </v:shape>
                <w10:wrap type="none"/>
                <w10:anchorlock/>
              </v:group>
            </w:pict>
          </mc:Fallback>
        </mc:AlternateContent>
      </w:r>
    </w:p>
    <w:p w14:paraId="5942D3DE">
      <w:pPr>
        <w:adjustRightInd w:val="0"/>
        <w:snapToGrid w:val="0"/>
        <w:spacing w:after="0" w:line="360" w:lineRule="auto"/>
        <w:jc w:val="center"/>
        <w:rPr>
          <w:rFonts w:ascii="Times New Roman" w:hAnsi="Times New Roman" w:eastAsia="黑体"/>
          <w:b/>
          <w:bCs/>
          <w:szCs w:val="22"/>
        </w:rPr>
      </w:pPr>
    </w:p>
    <w:p w14:paraId="73C6DC43">
      <w:pPr>
        <w:adjustRightInd w:val="0"/>
        <w:snapToGrid w:val="0"/>
        <w:spacing w:line="360" w:lineRule="auto"/>
        <w:jc w:val="center"/>
        <w:rPr>
          <w:rFonts w:ascii="Times New Roman" w:hAnsi="Times New Roman" w:eastAsia="黑体"/>
          <w:b/>
          <w:bCs/>
          <w:sz w:val="28"/>
          <w:szCs w:val="28"/>
          <w:highlight w:val="yellow"/>
        </w:rPr>
      </w:pPr>
      <w:r>
        <w:rPr>
          <w:rFonts w:hint="eastAsia" w:ascii="Times New Roman" w:hAnsi="Times New Roman" w:eastAsia="黑体"/>
          <w:b/>
          <w:bCs/>
          <w:sz w:val="28"/>
          <w:szCs w:val="28"/>
        </w:rPr>
        <w:t>KG-1急性骨髓性白血病细胞(STR鉴定)说明书</w:t>
      </w:r>
    </w:p>
    <w:tbl>
      <w:tblPr>
        <w:tblStyle w:val="18"/>
        <w:tblpPr w:leftFromText="180" w:rightFromText="180" w:vertAnchor="text" w:horzAnchor="page" w:tblpX="6421" w:tblpY="390"/>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97"/>
        <w:gridCol w:w="3562"/>
      </w:tblGrid>
      <w:tr w14:paraId="7004BC6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70" w:hRule="atLeast"/>
        </w:trPr>
        <w:tc>
          <w:tcPr>
            <w:tcW w:w="897" w:type="dxa"/>
            <w:vAlign w:val="center"/>
          </w:tcPr>
          <w:p w14:paraId="2EFCF6C5">
            <w:pPr>
              <w:adjustRightInd w:val="0"/>
              <w:snapToGrid w:val="0"/>
              <w:spacing w:after="0" w:line="15" w:lineRule="atLeast"/>
              <w:jc w:val="both"/>
              <w:rPr>
                <w:rFonts w:ascii="Times New Roman" w:hAnsi="Times New Roman" w:eastAsia="宋体"/>
                <w:sz w:val="21"/>
                <w:szCs w:val="21"/>
              </w:rPr>
            </w:pPr>
            <w:r>
              <w:rPr>
                <w:rFonts w:hint="eastAsia" w:ascii="Times New Roman" w:hAnsi="Times New Roman" w:eastAsia="宋体"/>
                <w:sz w:val="21"/>
                <w:szCs w:val="21"/>
              </w:rPr>
              <w:t>货  号</w:t>
            </w:r>
          </w:p>
        </w:tc>
        <w:tc>
          <w:tcPr>
            <w:tcW w:w="3562" w:type="dxa"/>
            <w:vAlign w:val="center"/>
          </w:tcPr>
          <w:p w14:paraId="3993A3EE">
            <w:pPr>
              <w:adjustRightInd w:val="0"/>
              <w:snapToGrid w:val="0"/>
              <w:spacing w:after="0" w:line="15" w:lineRule="atLeast"/>
              <w:jc w:val="both"/>
              <w:rPr>
                <w:rFonts w:ascii="Times New Roman" w:hAnsi="Times New Roman" w:eastAsia="宋体"/>
                <w:sz w:val="21"/>
                <w:szCs w:val="21"/>
              </w:rPr>
            </w:pPr>
            <w:r>
              <w:rPr>
                <w:rFonts w:hint="eastAsia" w:ascii="Times New Roman" w:hAnsi="Times New Roman" w:eastAsia="宋体"/>
                <w:sz w:val="21"/>
                <w:szCs w:val="21"/>
              </w:rPr>
              <w:t>SZJNK-00025</w:t>
            </w:r>
          </w:p>
        </w:tc>
      </w:tr>
      <w:tr w14:paraId="668B9F0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55" w:hRule="atLeast"/>
        </w:trPr>
        <w:tc>
          <w:tcPr>
            <w:tcW w:w="897" w:type="dxa"/>
            <w:vAlign w:val="center"/>
          </w:tcPr>
          <w:p w14:paraId="00BD68B5">
            <w:pPr>
              <w:adjustRightInd w:val="0"/>
              <w:snapToGrid w:val="0"/>
              <w:spacing w:after="0" w:line="15" w:lineRule="atLeast"/>
              <w:jc w:val="both"/>
              <w:rPr>
                <w:rFonts w:ascii="Times New Roman" w:hAnsi="Times New Roman" w:eastAsia="宋体"/>
                <w:sz w:val="21"/>
                <w:szCs w:val="21"/>
              </w:rPr>
            </w:pPr>
            <w:r>
              <w:rPr>
                <w:rFonts w:hint="eastAsia" w:ascii="Times New Roman" w:hAnsi="Times New Roman" w:eastAsia="宋体"/>
                <w:sz w:val="21"/>
                <w:szCs w:val="21"/>
              </w:rPr>
              <w:t>规  格</w:t>
            </w:r>
          </w:p>
        </w:tc>
        <w:tc>
          <w:tcPr>
            <w:tcW w:w="3562" w:type="dxa"/>
            <w:vAlign w:val="center"/>
          </w:tcPr>
          <w:p w14:paraId="7D66A9C3">
            <w:pPr>
              <w:adjustRightInd w:val="0"/>
              <w:snapToGrid w:val="0"/>
              <w:spacing w:after="0" w:line="15" w:lineRule="atLeast"/>
              <w:jc w:val="both"/>
              <w:rPr>
                <w:rFonts w:ascii="Times New Roman" w:hAnsi="Times New Roman" w:eastAsia="宋体"/>
                <w:sz w:val="21"/>
                <w:szCs w:val="21"/>
              </w:rPr>
            </w:pPr>
            <w:r>
              <w:rPr>
                <w:rFonts w:hint="eastAsia" w:ascii="Times New Roman" w:hAnsi="Times New Roman" w:eastAsia="宋体"/>
                <w:sz w:val="21"/>
                <w:szCs w:val="21"/>
              </w:rPr>
              <w:t>1×10</w:t>
            </w:r>
            <w:r>
              <w:rPr>
                <w:rFonts w:hint="eastAsia" w:ascii="Times New Roman" w:hAnsi="Times New Roman" w:eastAsia="宋体"/>
                <w:sz w:val="21"/>
                <w:szCs w:val="21"/>
                <w:vertAlign w:val="superscript"/>
              </w:rPr>
              <w:t xml:space="preserve">6 </w:t>
            </w:r>
            <w:r>
              <w:rPr>
                <w:rFonts w:hint="eastAsia" w:ascii="Times New Roman" w:hAnsi="Times New Roman" w:eastAsia="宋体"/>
                <w:sz w:val="21"/>
                <w:szCs w:val="21"/>
              </w:rPr>
              <w:t>cells（1个T25瓶/2冻存管）</w:t>
            </w:r>
          </w:p>
        </w:tc>
      </w:tr>
      <w:tr w14:paraId="32ACAF9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24" w:hRule="atLeast"/>
        </w:trPr>
        <w:tc>
          <w:tcPr>
            <w:tcW w:w="897" w:type="dxa"/>
            <w:vAlign w:val="center"/>
          </w:tcPr>
          <w:p w14:paraId="15604787">
            <w:pPr>
              <w:adjustRightInd w:val="0"/>
              <w:snapToGrid w:val="0"/>
              <w:spacing w:after="0" w:line="15" w:lineRule="atLeast"/>
              <w:jc w:val="both"/>
              <w:rPr>
                <w:rFonts w:ascii="Times New Roman" w:hAnsi="Times New Roman" w:eastAsia="宋体"/>
                <w:sz w:val="21"/>
                <w:szCs w:val="21"/>
              </w:rPr>
            </w:pPr>
            <w:r>
              <w:rPr>
                <w:rFonts w:hint="eastAsia" w:ascii="Times New Roman" w:hAnsi="Times New Roman" w:eastAsia="宋体"/>
                <w:sz w:val="21"/>
                <w:szCs w:val="21"/>
              </w:rPr>
              <w:t>来  源</w:t>
            </w:r>
          </w:p>
        </w:tc>
        <w:tc>
          <w:tcPr>
            <w:tcW w:w="3562" w:type="dxa"/>
            <w:vAlign w:val="center"/>
          </w:tcPr>
          <w:p w14:paraId="29A4CF2D">
            <w:pPr>
              <w:adjustRightInd w:val="0"/>
              <w:snapToGrid w:val="0"/>
              <w:spacing w:after="0" w:line="15" w:lineRule="atLeast"/>
              <w:jc w:val="both"/>
              <w:rPr>
                <w:rFonts w:ascii="Times New Roman" w:hAnsi="Times New Roman" w:eastAsia="宋体"/>
                <w:sz w:val="21"/>
                <w:szCs w:val="21"/>
              </w:rPr>
            </w:pPr>
            <w:r>
              <w:rPr>
                <w:rFonts w:hint="eastAsia" w:ascii="Times New Roman" w:hAnsi="Times New Roman" w:eastAsia="宋体"/>
                <w:sz w:val="21"/>
                <w:szCs w:val="21"/>
              </w:rPr>
              <w:t>急性骨髓性白血病</w:t>
            </w:r>
          </w:p>
        </w:tc>
      </w:tr>
      <w:tr w14:paraId="4D2768E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76" w:hRule="atLeast"/>
        </w:trPr>
        <w:tc>
          <w:tcPr>
            <w:tcW w:w="897" w:type="dxa"/>
            <w:vAlign w:val="center"/>
          </w:tcPr>
          <w:p w14:paraId="25D9F1B4">
            <w:pPr>
              <w:adjustRightInd w:val="0"/>
              <w:snapToGrid w:val="0"/>
              <w:spacing w:after="0" w:line="15" w:lineRule="atLeast"/>
              <w:jc w:val="both"/>
              <w:rPr>
                <w:rFonts w:ascii="Times New Roman" w:hAnsi="Times New Roman" w:eastAsia="宋体"/>
                <w:sz w:val="21"/>
                <w:szCs w:val="21"/>
              </w:rPr>
            </w:pPr>
            <w:r>
              <w:rPr>
                <w:rFonts w:hint="eastAsia" w:ascii="Times New Roman" w:hAnsi="Times New Roman" w:eastAsia="宋体"/>
                <w:sz w:val="21"/>
                <w:szCs w:val="21"/>
              </w:rPr>
              <w:t>特  征</w:t>
            </w:r>
          </w:p>
        </w:tc>
        <w:tc>
          <w:tcPr>
            <w:tcW w:w="3562" w:type="dxa"/>
            <w:vAlign w:val="center"/>
          </w:tcPr>
          <w:p w14:paraId="351A4DCC">
            <w:pPr>
              <w:adjustRightInd w:val="0"/>
              <w:snapToGrid w:val="0"/>
              <w:spacing w:after="0" w:line="15" w:lineRule="atLeast"/>
              <w:jc w:val="both"/>
              <w:rPr>
                <w:rFonts w:ascii="Times New Roman" w:hAnsi="Times New Roman" w:eastAsia="宋体"/>
                <w:sz w:val="21"/>
                <w:szCs w:val="21"/>
              </w:rPr>
            </w:pPr>
            <w:r>
              <w:rPr>
                <w:rFonts w:ascii="Times New Roman" w:hAnsi="Times New Roman" w:eastAsia="宋体"/>
                <w:sz w:val="21"/>
                <w:szCs w:val="21"/>
              </w:rPr>
              <w:t>悬浮</w:t>
            </w:r>
          </w:p>
        </w:tc>
      </w:tr>
      <w:tr w14:paraId="364DD46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5" w:hRule="atLeast"/>
        </w:trPr>
        <w:tc>
          <w:tcPr>
            <w:tcW w:w="897" w:type="dxa"/>
            <w:vAlign w:val="center"/>
          </w:tcPr>
          <w:p w14:paraId="7BF0E917">
            <w:pPr>
              <w:adjustRightInd w:val="0"/>
              <w:snapToGrid w:val="0"/>
              <w:spacing w:after="0" w:line="15" w:lineRule="atLeast"/>
              <w:jc w:val="both"/>
              <w:rPr>
                <w:rFonts w:ascii="Times New Roman" w:hAnsi="Times New Roman" w:eastAsia="宋体"/>
                <w:sz w:val="21"/>
                <w:szCs w:val="21"/>
                <w:highlight w:val="none"/>
              </w:rPr>
            </w:pPr>
            <w:r>
              <w:rPr>
                <w:rFonts w:hint="eastAsia" w:ascii="Times New Roman" w:hAnsi="Times New Roman" w:eastAsia="宋体"/>
                <w:sz w:val="21"/>
                <w:szCs w:val="21"/>
                <w:highlight w:val="none"/>
              </w:rPr>
              <w:t>培养基</w:t>
            </w:r>
          </w:p>
        </w:tc>
        <w:tc>
          <w:tcPr>
            <w:tcW w:w="3562" w:type="dxa"/>
            <w:vAlign w:val="center"/>
          </w:tcPr>
          <w:p w14:paraId="65E5A73E">
            <w:pPr>
              <w:adjustRightInd w:val="0"/>
              <w:snapToGrid w:val="0"/>
              <w:spacing w:after="0" w:line="15" w:lineRule="atLeast"/>
              <w:jc w:val="both"/>
              <w:rPr>
                <w:rFonts w:ascii="Times New Roman" w:hAnsi="Times New Roman" w:eastAsia="宋体"/>
                <w:sz w:val="21"/>
                <w:szCs w:val="21"/>
                <w:highlight w:val="none"/>
              </w:rPr>
            </w:pPr>
            <w:bookmarkStart w:id="3" w:name="_GoBack"/>
            <w:r>
              <w:rPr>
                <w:rFonts w:hint="eastAsia" w:ascii="Times New Roman" w:hAnsi="Times New Roman" w:eastAsia="宋体"/>
                <w:sz w:val="21"/>
                <w:szCs w:val="21"/>
                <w:highlight w:val="none"/>
              </w:rPr>
              <w:t>KG-1</w:t>
            </w:r>
            <w:bookmarkEnd w:id="3"/>
            <w:r>
              <w:rPr>
                <w:rFonts w:ascii="Times New Roman" w:hAnsi="Times New Roman" w:eastAsia="宋体"/>
                <w:sz w:val="21"/>
                <w:szCs w:val="21"/>
                <w:highlight w:val="none"/>
              </w:rPr>
              <w:t>细胞</w:t>
            </w:r>
            <w:r>
              <w:rPr>
                <w:rFonts w:hint="eastAsia" w:ascii="Times New Roman" w:hAnsi="Times New Roman" w:eastAsia="宋体"/>
                <w:sz w:val="21"/>
                <w:szCs w:val="21"/>
                <w:highlight w:val="none"/>
              </w:rPr>
              <w:t>专用培养基（货号： SZJNK-00025-001）</w:t>
            </w:r>
          </w:p>
        </w:tc>
      </w:tr>
    </w:tbl>
    <w:p w14:paraId="62D98BCA">
      <w:pPr>
        <w:adjustRightInd w:val="0"/>
        <w:snapToGrid w:val="0"/>
        <w:spacing w:after="0" w:line="360" w:lineRule="auto"/>
        <w:jc w:val="center"/>
        <w:rPr>
          <w:rFonts w:ascii="Times New Roman" w:hAnsi="Times New Roman" w:eastAsia="黑体"/>
          <w:b/>
          <w:bCs/>
          <w:szCs w:val="22"/>
          <w:highlight w:val="none"/>
        </w:rPr>
      </w:pPr>
      <w:r>
        <w:rPr>
          <w:rFonts w:hint="eastAsia" w:ascii="Times New Roman" w:hAnsi="Times New Roman" w:eastAsia="宋体"/>
          <w:highlight w:val="none"/>
        </w:rPr>
        <w:t xml:space="preserve"> </w:t>
      </w:r>
    </w:p>
    <w:p w14:paraId="4ED4BC91">
      <w:pPr>
        <w:adjustRightInd w:val="0"/>
        <w:snapToGrid w:val="0"/>
        <w:spacing w:line="15" w:lineRule="atLeast"/>
        <w:jc w:val="both"/>
        <w:rPr>
          <w:rFonts w:ascii="Times New Roman" w:hAnsi="Times New Roman" w:eastAsia="宋体"/>
          <w:highlight w:val="none"/>
        </w:rPr>
      </w:pPr>
    </w:p>
    <w:p w14:paraId="5252EE00">
      <w:pPr>
        <w:tabs>
          <w:tab w:val="left" w:pos="5388"/>
        </w:tabs>
        <w:adjustRightInd w:val="0"/>
        <w:snapToGrid w:val="0"/>
        <w:spacing w:after="0" w:line="360" w:lineRule="auto"/>
        <w:rPr>
          <w:rFonts w:ascii="Times New Roman" w:hAnsi="Times New Roman" w:eastAsia="黑体"/>
          <w:b/>
          <w:bCs/>
          <w:sz w:val="28"/>
          <w:szCs w:val="28"/>
          <w:highlight w:val="none"/>
        </w:rPr>
        <w:sectPr>
          <w:headerReference r:id="rId5" w:type="default"/>
          <w:footerReference r:id="rId6" w:type="default"/>
          <w:pgSz w:w="11906" w:h="16838"/>
          <w:pgMar w:top="1440" w:right="1800" w:bottom="1440" w:left="1800" w:header="851" w:footer="992" w:gutter="0"/>
          <w:cols w:space="425" w:num="1"/>
          <w:docGrid w:type="lines" w:linePitch="312" w:charSpace="0"/>
        </w:sectPr>
      </w:pPr>
      <w:r>
        <w:rPr>
          <w:rFonts w:ascii="Times New Roman" w:hAnsi="Times New Roman" w:eastAsia="黑体"/>
          <w:b/>
          <w:bCs/>
          <w:sz w:val="28"/>
          <w:szCs w:val="28"/>
          <w:highlight w:val="none"/>
        </w:rPr>
        <w:tab/>
      </w:r>
    </w:p>
    <w:p w14:paraId="52816258">
      <w:pPr>
        <w:adjustRightInd w:val="0"/>
        <w:snapToGrid w:val="0"/>
        <w:spacing w:before="156" w:beforeLines="50" w:after="156" w:afterLines="50" w:line="240" w:lineRule="auto"/>
        <w:rPr>
          <w:rFonts w:hint="eastAsia" w:ascii="黑体" w:hAnsi="黑体" w:eastAsia="黑体"/>
          <w:sz w:val="28"/>
          <w:szCs w:val="28"/>
          <w:highlight w:val="none"/>
        </w:rPr>
      </w:pPr>
      <w:bookmarkStart w:id="1" w:name="OLE_LINK1"/>
      <w:r>
        <w:rPr>
          <w:rFonts w:hint="eastAsia" w:ascii="黑体" w:hAnsi="黑体" w:eastAsia="黑体"/>
          <w:sz w:val="28"/>
          <w:szCs w:val="28"/>
          <w:highlight w:val="none"/>
        </w:rPr>
        <w:t>一、基本信息</w:t>
      </w:r>
    </w:p>
    <w:bookmarkEnd w:id="1"/>
    <w:tbl>
      <w:tblPr>
        <w:tblStyle w:val="18"/>
        <w:tblW w:w="93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9"/>
        <w:gridCol w:w="7215"/>
      </w:tblGrid>
      <w:tr w14:paraId="09EA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119" w:type="dxa"/>
          </w:tcPr>
          <w:p w14:paraId="48A6BCD5">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中文名称</w:t>
            </w:r>
          </w:p>
        </w:tc>
        <w:tc>
          <w:tcPr>
            <w:tcW w:w="7215" w:type="dxa"/>
          </w:tcPr>
          <w:p w14:paraId="3FA722AD">
            <w:pPr>
              <w:widowControl/>
              <w:spacing w:after="0" w:line="240" w:lineRule="auto"/>
              <w:jc w:val="both"/>
              <w:rPr>
                <w:rFonts w:ascii="Times New Roman" w:hAnsi="Times New Roman" w:eastAsia="宋体"/>
                <w:sz w:val="20"/>
                <w:szCs w:val="20"/>
                <w:highlight w:val="none"/>
              </w:rPr>
            </w:pPr>
            <w:r>
              <w:rPr>
                <w:rFonts w:ascii="Times New Roman" w:hAnsi="Times New Roman" w:eastAsia="宋体"/>
                <w:sz w:val="20"/>
                <w:szCs w:val="20"/>
                <w:highlight w:val="none"/>
              </w:rPr>
              <w:t>急性骨髓性白血病细胞</w:t>
            </w:r>
          </w:p>
        </w:tc>
      </w:tr>
      <w:tr w14:paraId="5B0A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119" w:type="dxa"/>
          </w:tcPr>
          <w:p w14:paraId="7695CA5D">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别称</w:t>
            </w:r>
          </w:p>
        </w:tc>
        <w:tc>
          <w:tcPr>
            <w:tcW w:w="7215" w:type="dxa"/>
          </w:tcPr>
          <w:p w14:paraId="6B8150F0">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KG-1</w:t>
            </w:r>
          </w:p>
        </w:tc>
      </w:tr>
      <w:tr w14:paraId="77CB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119" w:type="dxa"/>
          </w:tcPr>
          <w:p w14:paraId="4CD1CAFF">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细胞货号</w:t>
            </w:r>
          </w:p>
        </w:tc>
        <w:tc>
          <w:tcPr>
            <w:tcW w:w="7215" w:type="dxa"/>
          </w:tcPr>
          <w:p w14:paraId="27656477">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SZJNK-00025</w:t>
            </w:r>
          </w:p>
        </w:tc>
      </w:tr>
      <w:tr w14:paraId="3FFE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2119" w:type="dxa"/>
          </w:tcPr>
          <w:p w14:paraId="6796271B">
            <w:pPr>
              <w:widowControl/>
              <w:adjustRightInd w:val="0"/>
              <w:snapToGrid w:val="0"/>
              <w:spacing w:before="624" w:beforeLines="200"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细胞背景</w:t>
            </w:r>
          </w:p>
        </w:tc>
        <w:tc>
          <w:tcPr>
            <w:tcW w:w="7215" w:type="dxa"/>
          </w:tcPr>
          <w:p w14:paraId="06673238">
            <w:pPr>
              <w:adjustRightInd w:val="0"/>
              <w:snapToGrid w:val="0"/>
              <w:spacing w:after="0" w:line="15" w:lineRule="atLeast"/>
              <w:jc w:val="both"/>
              <w:rPr>
                <w:rFonts w:ascii="Times New Roman" w:hAnsi="Times New Roman" w:eastAsia="宋体"/>
                <w:sz w:val="20"/>
                <w:szCs w:val="20"/>
                <w:highlight w:val="none"/>
              </w:rPr>
            </w:pPr>
            <w:r>
              <w:rPr>
                <w:rFonts w:ascii="Times New Roman" w:hAnsi="Times New Roman" w:eastAsia="宋体"/>
                <w:sz w:val="20"/>
                <w:szCs w:val="20"/>
                <w:highlight w:val="none"/>
              </w:rPr>
              <w:t>KG-1是一种急性骨髓性白血病（AML）细胞系，最初由H.P. Koeffler和D.W. Golde从一位59岁白人男性的骨髓抽取物中建立，该男性最初患有红白血病，后来发展为急性粒细胞性白血病。</w:t>
            </w:r>
            <w:r>
              <w:rPr>
                <w:rFonts w:hint="eastAsia" w:ascii="Times New Roman" w:hAnsi="Times New Roman" w:eastAsia="宋体"/>
                <w:sz w:val="20"/>
                <w:szCs w:val="20"/>
                <w:highlight w:val="none"/>
              </w:rPr>
              <w:t>细胞在形态上类似急性髓原白血病，表现为明显的多形性，骨髓母细胞和骨髓细胞占优势。KG-1细胞少量是成熟的粒细胞，也有微量的巨噬细胞和嗜曙红细胞。KG-1 髓母细胞在佛波醇酯存在下可分化为巨噬细胞。它们对集落刺激因子 (CSF) 有良好的反应。该细胞系为 EBNA 阴性 (EBNA-)。</w:t>
            </w:r>
            <w:r>
              <w:rPr>
                <w:rFonts w:hint="eastAsia" w:ascii="Times New Roman" w:hAnsi="Times New Roman" w:eastAsia="宋体"/>
                <w:sz w:val="20"/>
                <w:szCs w:val="20"/>
                <w:highlight w:val="none"/>
              </w:rPr>
              <w:br w:type="textWrapping"/>
            </w:r>
            <w:r>
              <w:rPr>
                <w:rFonts w:hint="eastAsia" w:ascii="Times New Roman" w:hAnsi="Times New Roman" w:eastAsia="宋体"/>
                <w:sz w:val="20"/>
                <w:szCs w:val="20"/>
                <w:highlight w:val="none"/>
              </w:rPr>
              <w:t>在急性髓性白血病研究中，KG-1细胞系得到以下应用：耐药性研究、细胞分化研究、基因和蛋白质表达研究、细胞信号传导研究、细胞凋亡研究、白血病干细胞研究、药物筛选和毒性测试、基因突变或异常表达研究、信号通路异常研究、免疫细胞异常研究等。</w:t>
            </w:r>
          </w:p>
        </w:tc>
      </w:tr>
      <w:tr w14:paraId="6364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119" w:type="dxa"/>
          </w:tcPr>
          <w:p w14:paraId="191E7C3B">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细胞形态</w:t>
            </w:r>
          </w:p>
        </w:tc>
        <w:tc>
          <w:tcPr>
            <w:tcW w:w="7215" w:type="dxa"/>
          </w:tcPr>
          <w:p w14:paraId="419099AF">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淋巴母细胞样</w:t>
            </w:r>
          </w:p>
        </w:tc>
      </w:tr>
      <w:tr w14:paraId="72F6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119" w:type="dxa"/>
          </w:tcPr>
          <w:p w14:paraId="24C95CC6">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供体来源</w:t>
            </w:r>
          </w:p>
        </w:tc>
        <w:tc>
          <w:tcPr>
            <w:tcW w:w="7215" w:type="dxa"/>
          </w:tcPr>
          <w:p w14:paraId="5BF8CDA7">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男性</w:t>
            </w:r>
            <w:r>
              <w:rPr>
                <w:rFonts w:ascii="Times New Roman" w:hAnsi="Times New Roman" w:eastAsia="宋体"/>
                <w:sz w:val="20"/>
                <w:szCs w:val="20"/>
                <w:highlight w:val="none"/>
              </w:rPr>
              <w:t xml:space="preserve"> </w:t>
            </w:r>
            <w:r>
              <w:rPr>
                <w:rFonts w:hint="eastAsia" w:ascii="Times New Roman" w:hAnsi="Times New Roman" w:eastAsia="宋体"/>
                <w:sz w:val="20"/>
                <w:szCs w:val="20"/>
                <w:highlight w:val="none"/>
              </w:rPr>
              <w:t>；59岁</w:t>
            </w:r>
          </w:p>
        </w:tc>
      </w:tr>
      <w:tr w14:paraId="7825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119" w:type="dxa"/>
          </w:tcPr>
          <w:p w14:paraId="7130723F">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细胞类型</w:t>
            </w:r>
          </w:p>
        </w:tc>
        <w:tc>
          <w:tcPr>
            <w:tcW w:w="7215" w:type="dxa"/>
          </w:tcPr>
          <w:p w14:paraId="6A9BDAC9">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肿瘤细胞</w:t>
            </w:r>
          </w:p>
        </w:tc>
      </w:tr>
      <w:tr w14:paraId="5DE7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119" w:type="dxa"/>
          </w:tcPr>
          <w:p w14:paraId="4B05C53D">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收录</w:t>
            </w:r>
          </w:p>
        </w:tc>
        <w:tc>
          <w:tcPr>
            <w:tcW w:w="7215" w:type="dxa"/>
          </w:tcPr>
          <w:p w14:paraId="376CA448">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ATCC</w:t>
            </w:r>
          </w:p>
        </w:tc>
      </w:tr>
      <w:tr w14:paraId="47EC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2119" w:type="dxa"/>
          </w:tcPr>
          <w:p w14:paraId="06C14CD3">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培养条件</w:t>
            </w:r>
          </w:p>
        </w:tc>
        <w:tc>
          <w:tcPr>
            <w:tcW w:w="7215" w:type="dxa"/>
          </w:tcPr>
          <w:p w14:paraId="40AD0030">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37℃；5% CO</w:t>
            </w:r>
            <w:r>
              <w:rPr>
                <w:rFonts w:hint="eastAsia" w:ascii="Times New Roman" w:hAnsi="Times New Roman" w:eastAsia="宋体"/>
                <w:sz w:val="20"/>
                <w:szCs w:val="20"/>
                <w:highlight w:val="none"/>
                <w:vertAlign w:val="subscript"/>
              </w:rPr>
              <w:t>2</w:t>
            </w:r>
            <w:r>
              <w:rPr>
                <w:rFonts w:hint="eastAsia" w:ascii="Times New Roman" w:hAnsi="Times New Roman" w:eastAsia="宋体"/>
                <w:sz w:val="20"/>
                <w:szCs w:val="20"/>
                <w:highlight w:val="none"/>
              </w:rPr>
              <w:t>；饱和湿度</w:t>
            </w:r>
          </w:p>
        </w:tc>
      </w:tr>
      <w:tr w14:paraId="2007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19" w:type="dxa"/>
          </w:tcPr>
          <w:p w14:paraId="6952916E">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培养体系</w:t>
            </w:r>
          </w:p>
        </w:tc>
        <w:tc>
          <w:tcPr>
            <w:tcW w:w="7215" w:type="dxa"/>
          </w:tcPr>
          <w:p w14:paraId="2B5CBE92">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KG-1专用培养基（货号：SZJNK-00025-001）</w:t>
            </w:r>
          </w:p>
        </w:tc>
      </w:tr>
      <w:tr w14:paraId="3BA5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119" w:type="dxa"/>
          </w:tcPr>
          <w:p w14:paraId="5FDEFEB1">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倍增时间</w:t>
            </w:r>
          </w:p>
        </w:tc>
        <w:tc>
          <w:tcPr>
            <w:tcW w:w="7215" w:type="dxa"/>
          </w:tcPr>
          <w:p w14:paraId="08DDAF96">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约38~45hours</w:t>
            </w:r>
          </w:p>
        </w:tc>
      </w:tr>
      <w:tr w14:paraId="04CB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2119" w:type="dxa"/>
          </w:tcPr>
          <w:p w14:paraId="5F08B15D">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冻存条件</w:t>
            </w:r>
          </w:p>
        </w:tc>
        <w:tc>
          <w:tcPr>
            <w:tcW w:w="7215" w:type="dxa"/>
          </w:tcPr>
          <w:p w14:paraId="6B8913D9">
            <w:pPr>
              <w:widowControl/>
              <w:spacing w:after="0" w:line="240" w:lineRule="auto"/>
              <w:jc w:val="both"/>
              <w:rPr>
                <w:rFonts w:ascii="Times New Roman" w:hAnsi="Times New Roman" w:eastAsia="宋体"/>
                <w:sz w:val="20"/>
                <w:szCs w:val="20"/>
                <w:highlight w:val="none"/>
              </w:rPr>
            </w:pPr>
            <w:r>
              <w:rPr>
                <w:rFonts w:ascii="Times New Roman" w:hAnsi="Times New Roman" w:eastAsia="宋体"/>
                <w:sz w:val="20"/>
                <w:szCs w:val="20"/>
                <w:highlight w:val="none"/>
              </w:rPr>
              <w:t>冻存液</w:t>
            </w:r>
            <w:r>
              <w:rPr>
                <w:rFonts w:hint="eastAsia" w:ascii="Times New Roman" w:hAnsi="Times New Roman" w:eastAsia="宋体"/>
                <w:sz w:val="20"/>
                <w:szCs w:val="20"/>
                <w:highlight w:val="none"/>
              </w:rPr>
              <w:t>：</w:t>
            </w:r>
            <w:r>
              <w:rPr>
                <w:rFonts w:ascii="Times New Roman" w:hAnsi="Times New Roman" w:eastAsia="宋体"/>
                <w:sz w:val="20"/>
                <w:szCs w:val="20"/>
                <w:highlight w:val="none"/>
              </w:rPr>
              <w:t>5</w:t>
            </w:r>
            <w:r>
              <w:rPr>
                <w:rFonts w:hint="eastAsia" w:ascii="Times New Roman" w:hAnsi="Times New Roman" w:eastAsia="宋体"/>
                <w:sz w:val="20"/>
                <w:szCs w:val="20"/>
                <w:highlight w:val="none"/>
              </w:rPr>
              <w:t>0</w:t>
            </w:r>
            <w:r>
              <w:rPr>
                <w:rFonts w:ascii="Times New Roman" w:hAnsi="Times New Roman" w:eastAsia="宋体"/>
                <w:sz w:val="20"/>
                <w:szCs w:val="20"/>
                <w:highlight w:val="none"/>
              </w:rPr>
              <w:t xml:space="preserve">% 基础培养基 + 40% FBS + </w:t>
            </w:r>
            <w:r>
              <w:rPr>
                <w:rFonts w:hint="eastAsia" w:ascii="Times New Roman" w:hAnsi="Times New Roman" w:eastAsia="宋体"/>
                <w:sz w:val="20"/>
                <w:szCs w:val="20"/>
                <w:highlight w:val="none"/>
              </w:rPr>
              <w:t>10</w:t>
            </w:r>
            <w:r>
              <w:rPr>
                <w:rFonts w:ascii="Times New Roman" w:hAnsi="Times New Roman" w:eastAsia="宋体"/>
                <w:sz w:val="20"/>
                <w:szCs w:val="20"/>
                <w:highlight w:val="none"/>
              </w:rPr>
              <w:t>% DMSO；液氮</w:t>
            </w:r>
          </w:p>
        </w:tc>
      </w:tr>
      <w:tr w14:paraId="3061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2119" w:type="dxa"/>
            <w:vAlign w:val="center"/>
          </w:tcPr>
          <w:p w14:paraId="0B5E229F">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cs="宋体"/>
                <w:sz w:val="20"/>
                <w:szCs w:val="20"/>
                <w:highlight w:val="none"/>
              </w:rPr>
              <w:t>细胞活力</w:t>
            </w:r>
          </w:p>
        </w:tc>
        <w:tc>
          <w:tcPr>
            <w:tcW w:w="7215" w:type="dxa"/>
            <w:vAlign w:val="center"/>
          </w:tcPr>
          <w:p w14:paraId="3562F518">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台盼蓝染色</w:t>
            </w:r>
          </w:p>
        </w:tc>
      </w:tr>
      <w:tr w14:paraId="594C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119" w:type="dxa"/>
            <w:vAlign w:val="center"/>
          </w:tcPr>
          <w:p w14:paraId="25280BCC">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cs="宋体"/>
                <w:sz w:val="20"/>
                <w:szCs w:val="20"/>
                <w:highlight w:val="none"/>
              </w:rPr>
              <w:t>无菌检验</w:t>
            </w:r>
          </w:p>
        </w:tc>
        <w:tc>
          <w:tcPr>
            <w:tcW w:w="7215" w:type="dxa"/>
            <w:vAlign w:val="center"/>
          </w:tcPr>
          <w:p w14:paraId="0C594F87">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cs="宋体"/>
                <w:sz w:val="20"/>
                <w:szCs w:val="20"/>
                <w:highlight w:val="none"/>
              </w:rPr>
              <w:t>阴性（√）；阳性（ ）</w:t>
            </w:r>
          </w:p>
        </w:tc>
      </w:tr>
      <w:tr w14:paraId="5548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19" w:type="dxa"/>
            <w:vAlign w:val="center"/>
          </w:tcPr>
          <w:p w14:paraId="6DA088AE">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cs="宋体"/>
                <w:sz w:val="20"/>
                <w:szCs w:val="20"/>
                <w:highlight w:val="none"/>
              </w:rPr>
              <w:t>支原体检验</w:t>
            </w:r>
          </w:p>
        </w:tc>
        <w:tc>
          <w:tcPr>
            <w:tcW w:w="7215" w:type="dxa"/>
            <w:vAlign w:val="center"/>
          </w:tcPr>
          <w:p w14:paraId="42A88022">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cs="宋体"/>
                <w:sz w:val="20"/>
                <w:szCs w:val="20"/>
                <w:highlight w:val="none"/>
              </w:rPr>
              <w:t>阴性（√）；阳性（ ）</w:t>
            </w:r>
          </w:p>
        </w:tc>
      </w:tr>
    </w:tbl>
    <w:p w14:paraId="58AA83F4">
      <w:pPr>
        <w:adjustRightInd w:val="0"/>
        <w:snapToGrid w:val="0"/>
        <w:spacing w:after="0" w:line="240" w:lineRule="auto"/>
        <w:rPr>
          <w:rFonts w:hint="eastAsia" w:ascii="黑体" w:hAnsi="黑体" w:eastAsia="黑体"/>
          <w:b/>
          <w:bCs/>
          <w:sz w:val="30"/>
          <w:szCs w:val="30"/>
          <w:highlight w:val="none"/>
        </w:rPr>
      </w:pPr>
    </w:p>
    <w:p w14:paraId="2095053A">
      <w:pPr>
        <w:adjustRightInd w:val="0"/>
        <w:snapToGrid w:val="0"/>
        <w:spacing w:before="156" w:beforeLines="50" w:after="156" w:afterLines="50" w:line="240" w:lineRule="auto"/>
        <w:rPr>
          <w:rFonts w:hint="eastAsia" w:ascii="黑体" w:hAnsi="黑体" w:eastAsia="黑体"/>
          <w:sz w:val="28"/>
          <w:szCs w:val="28"/>
          <w:highlight w:val="none"/>
        </w:rPr>
      </w:pPr>
    </w:p>
    <w:p w14:paraId="0FF656E4">
      <w:pPr>
        <w:adjustRightInd w:val="0"/>
        <w:snapToGrid w:val="0"/>
        <w:spacing w:before="156" w:beforeLines="50" w:after="156" w:afterLines="50" w:line="240" w:lineRule="auto"/>
        <w:rPr>
          <w:rFonts w:hint="eastAsia" w:ascii="黑体" w:hAnsi="黑体" w:eastAsia="黑体"/>
          <w:sz w:val="28"/>
          <w:szCs w:val="28"/>
          <w:highlight w:val="none"/>
        </w:rPr>
      </w:pPr>
      <w:r>
        <w:rPr>
          <w:rFonts w:hint="eastAsia" w:ascii="黑体" w:hAnsi="黑体" w:eastAsia="黑体"/>
          <w:sz w:val="28"/>
          <w:szCs w:val="28"/>
          <w:highlight w:val="none"/>
        </w:rPr>
        <w:t>二、STR鉴定</w:t>
      </w:r>
    </w:p>
    <w:p w14:paraId="787033FA">
      <w:pPr>
        <w:rPr>
          <w:rFonts w:hint="eastAsia" w:ascii="宋体" w:hAnsi="黑体" w:eastAsia="宋体"/>
          <w:b/>
          <w:bCs/>
          <w:sz w:val="24"/>
          <w:highlight w:val="none"/>
        </w:rPr>
      </w:pPr>
      <w:r>
        <w:rPr>
          <w:rFonts w:hint="eastAsia" w:ascii="宋体" w:hAnsi="黑体" w:eastAsia="宋体"/>
          <w:b/>
          <w:bCs/>
          <w:sz w:val="24"/>
          <w:highlight w:val="none"/>
        </w:rPr>
        <w:t>1. 材料处理和检验方法</w:t>
      </w:r>
    </w:p>
    <w:p w14:paraId="03870525">
      <w:pPr>
        <w:ind w:firstLine="400" w:firstLineChars="200"/>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取适量的KG-1细胞，用Axygen的基因组抽提试剂盒提取DNA，采用VeriFiler</w:t>
      </w:r>
      <w:r>
        <w:rPr>
          <w:rFonts w:hint="eastAsia" w:ascii="Times New Roman" w:hAnsi="Times New Roman" w:eastAsia="宋体"/>
          <w:sz w:val="20"/>
          <w:szCs w:val="20"/>
          <w:highlight w:val="none"/>
          <w:vertAlign w:val="superscript"/>
        </w:rPr>
        <w:t>TM</w:t>
      </w:r>
      <w:r>
        <w:rPr>
          <w:rFonts w:hint="eastAsia" w:ascii="Times New Roman" w:hAnsi="Times New Roman" w:eastAsia="宋体"/>
          <w:sz w:val="20"/>
          <w:szCs w:val="20"/>
          <w:highlight w:val="none"/>
        </w:rPr>
        <w:t xml:space="preserve"> Plus PCR Reagents扩增试剂盒扩增，在ABI 3500XL型遗传分析仪上对STR位点和性别基因Amelogenin进行检测。</w:t>
      </w:r>
    </w:p>
    <w:p w14:paraId="6DDD11B7">
      <w:pPr>
        <w:rPr>
          <w:rFonts w:hint="eastAsia" w:ascii="宋体" w:hAnsi="黑体" w:eastAsia="宋体"/>
          <w:b/>
          <w:bCs/>
          <w:sz w:val="24"/>
          <w:highlight w:val="none"/>
        </w:rPr>
      </w:pPr>
      <w:r>
        <w:rPr>
          <w:rFonts w:hint="eastAsia" w:ascii="宋体" w:hAnsi="黑体" w:eastAsia="宋体"/>
          <w:b/>
          <w:bCs/>
          <w:sz w:val="24"/>
          <w:highlight w:val="none"/>
        </w:rPr>
        <w:t>2. 检验结果</w:t>
      </w:r>
    </w:p>
    <w:tbl>
      <w:tblPr>
        <w:tblStyle w:val="42"/>
        <w:tblpPr w:leftFromText="180" w:rightFromText="180" w:vertAnchor="text" w:horzAnchor="margin" w:tblpXSpec="center" w:tblpY="49"/>
        <w:tblW w:w="81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23" w:type="dxa"/>
          <w:bottom w:w="0" w:type="dxa"/>
          <w:right w:w="108" w:type="dxa"/>
        </w:tblCellMar>
      </w:tblPr>
      <w:tblGrid>
        <w:gridCol w:w="1527"/>
        <w:gridCol w:w="1387"/>
        <w:gridCol w:w="2174"/>
        <w:gridCol w:w="1430"/>
        <w:gridCol w:w="1606"/>
      </w:tblGrid>
      <w:tr w14:paraId="23A3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3" w:type="dxa"/>
            <w:bottom w:w="0" w:type="dxa"/>
            <w:right w:w="108" w:type="dxa"/>
          </w:tblCellMar>
        </w:tblPrEx>
        <w:trPr>
          <w:trHeight w:val="520" w:hRule="atLeast"/>
        </w:trPr>
        <w:tc>
          <w:tcPr>
            <w:tcW w:w="1527" w:type="dxa"/>
            <w:vAlign w:val="center"/>
          </w:tcPr>
          <w:p w14:paraId="54FD78F0">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ascii="微软雅黑" w:hAnsi="微软雅黑" w:eastAsia="微软雅黑" w:cs="微软雅黑"/>
                <w:b/>
                <w:color w:val="000000"/>
                <w:kern w:val="0"/>
                <w:szCs w:val="22"/>
                <w:highlight w:val="none"/>
                <w14:ligatures w14:val="none"/>
              </w:rPr>
              <w:t>多等位基因</w:t>
            </w:r>
          </w:p>
        </w:tc>
        <w:tc>
          <w:tcPr>
            <w:tcW w:w="1387" w:type="dxa"/>
            <w:vAlign w:val="center"/>
          </w:tcPr>
          <w:p w14:paraId="1B1578EA">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ascii="微软雅黑" w:hAnsi="微软雅黑" w:eastAsia="微软雅黑" w:cs="微软雅黑"/>
                <w:b/>
                <w:color w:val="000000"/>
                <w:kern w:val="0"/>
                <w:szCs w:val="22"/>
                <w:highlight w:val="none"/>
                <w14:ligatures w14:val="none"/>
              </w:rPr>
              <w:t>细胞库</w:t>
            </w:r>
          </w:p>
        </w:tc>
        <w:tc>
          <w:tcPr>
            <w:tcW w:w="2174" w:type="dxa"/>
            <w:vAlign w:val="center"/>
          </w:tcPr>
          <w:p w14:paraId="21CC67CD">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ascii="微软雅黑" w:hAnsi="微软雅黑" w:eastAsia="微软雅黑" w:cs="微软雅黑"/>
                <w:b/>
                <w:color w:val="000000"/>
                <w:kern w:val="0"/>
                <w:szCs w:val="22"/>
                <w:highlight w:val="none"/>
                <w14:ligatures w14:val="none"/>
              </w:rPr>
              <w:t>匹配细胞系</w:t>
            </w:r>
          </w:p>
        </w:tc>
        <w:tc>
          <w:tcPr>
            <w:tcW w:w="1430" w:type="dxa"/>
            <w:vAlign w:val="center"/>
          </w:tcPr>
          <w:p w14:paraId="39B6DF31">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hint="eastAsia" w:ascii="微软雅黑" w:hAnsi="微软雅黑" w:eastAsia="微软雅黑" w:cs="微软雅黑"/>
                <w:b/>
                <w:color w:val="000000"/>
                <w:kern w:val="0"/>
                <w:szCs w:val="22"/>
                <w:highlight w:val="none"/>
                <w14:ligatures w14:val="none"/>
              </w:rPr>
              <w:t>相似度</w:t>
            </w:r>
          </w:p>
        </w:tc>
        <w:tc>
          <w:tcPr>
            <w:tcW w:w="1606" w:type="dxa"/>
            <w:vAlign w:val="center"/>
          </w:tcPr>
          <w:p w14:paraId="379D2BB9">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ascii="微软雅黑" w:hAnsi="微软雅黑" w:eastAsia="微软雅黑" w:cs="微软雅黑"/>
                <w:b/>
                <w:color w:val="000000"/>
                <w:kern w:val="0"/>
                <w:szCs w:val="22"/>
                <w:highlight w:val="none"/>
                <w14:ligatures w14:val="none"/>
              </w:rPr>
              <w:t>匹配说明</w:t>
            </w:r>
          </w:p>
        </w:tc>
      </w:tr>
      <w:tr w14:paraId="1ECD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3" w:type="dxa"/>
            <w:bottom w:w="0" w:type="dxa"/>
            <w:right w:w="108" w:type="dxa"/>
          </w:tblCellMar>
        </w:tblPrEx>
        <w:trPr>
          <w:trHeight w:val="480" w:hRule="atLeast"/>
        </w:trPr>
        <w:tc>
          <w:tcPr>
            <w:tcW w:w="1527" w:type="dxa"/>
            <w:vAlign w:val="center"/>
          </w:tcPr>
          <w:p w14:paraId="47C0BCA6">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hint="eastAsia" w:ascii="Times New Roman" w:hAnsi="Times New Roman" w:eastAsia="微软雅黑" w:cs="Times New Roman"/>
                <w:kern w:val="0"/>
                <w:szCs w:val="22"/>
                <w:highlight w:val="none"/>
                <w14:ligatures w14:val="none"/>
              </w:rPr>
              <w:t>无</w:t>
            </w:r>
          </w:p>
        </w:tc>
        <w:tc>
          <w:tcPr>
            <w:tcW w:w="1387" w:type="dxa"/>
            <w:vAlign w:val="center"/>
          </w:tcPr>
          <w:p w14:paraId="48121AAD">
            <w:pPr>
              <w:widowControl/>
              <w:spacing w:before="280" w:beforeAutospacing="1" w:after="280" w:afterAutospacing="1" w:line="240" w:lineRule="auto"/>
              <w:jc w:val="center"/>
              <w:rPr>
                <w:rFonts w:ascii="Times New Roman" w:hAnsi="Times New Roman" w:eastAsia="微软雅黑" w:cs="Times New Roman"/>
                <w:kern w:val="0"/>
                <w:szCs w:val="22"/>
                <w:highlight w:val="none"/>
                <w14:ligatures w14:val="none"/>
              </w:rPr>
            </w:pPr>
            <w:r>
              <w:rPr>
                <w:rFonts w:ascii="Times New Roman" w:hAnsi="Times New Roman" w:eastAsia="微软雅黑" w:cs="Times New Roman"/>
                <w:kern w:val="0"/>
                <w:sz w:val="24"/>
                <w:highlight w:val="none"/>
                <w14:ligatures w14:val="none"/>
              </w:rPr>
              <w:t>Cellosaurus</w:t>
            </w:r>
          </w:p>
        </w:tc>
        <w:tc>
          <w:tcPr>
            <w:tcW w:w="2174" w:type="dxa"/>
            <w:vAlign w:val="center"/>
          </w:tcPr>
          <w:p w14:paraId="799627AD">
            <w:pPr>
              <w:widowControl/>
              <w:spacing w:after="0" w:line="240" w:lineRule="auto"/>
              <w:jc w:val="center"/>
              <w:textAlignment w:val="center"/>
              <w:rPr>
                <w:rFonts w:ascii="Helvetica" w:hAnsi="Helvetica" w:eastAsia="Helvetica" w:cs="Helvetica"/>
                <w:color w:val="006EB7"/>
                <w:kern w:val="0"/>
                <w:szCs w:val="22"/>
                <w:highlight w:val="none"/>
                <w14:ligatures w14:val="none"/>
              </w:rPr>
            </w:pPr>
            <w:r>
              <w:rPr>
                <w:rFonts w:hint="eastAsia" w:ascii="Times New Roman" w:hAnsi="Times New Roman" w:eastAsia="微软雅黑" w:cs="Times New Roman"/>
                <w:kern w:val="0"/>
                <w:sz w:val="24"/>
                <w:highlight w:val="none"/>
                <w14:ligatures w14:val="none"/>
              </w:rPr>
              <w:t>SW480</w:t>
            </w:r>
          </w:p>
        </w:tc>
        <w:tc>
          <w:tcPr>
            <w:tcW w:w="1430" w:type="dxa"/>
            <w:vAlign w:val="center"/>
          </w:tcPr>
          <w:p w14:paraId="107D06F8">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hint="eastAsia" w:ascii="微软雅黑" w:hAnsi="微软雅黑" w:eastAsia="微软雅黑" w:cs="微软雅黑"/>
                <w:kern w:val="0"/>
                <w:sz w:val="24"/>
                <w:highlight w:val="none"/>
                <w14:ligatures w14:val="none"/>
              </w:rPr>
              <w:t>100%</w:t>
            </w:r>
          </w:p>
        </w:tc>
        <w:tc>
          <w:tcPr>
            <w:tcW w:w="1606" w:type="dxa"/>
            <w:vAlign w:val="center"/>
          </w:tcPr>
          <w:p w14:paraId="278119F5">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hint="eastAsia" w:ascii="微软雅黑" w:hAnsi="微软雅黑" w:eastAsia="微软雅黑" w:cs="微软雅黑"/>
                <w:kern w:val="0"/>
                <w:sz w:val="24"/>
                <w:highlight w:val="none"/>
                <w14:ligatures w14:val="none"/>
              </w:rPr>
              <w:t>完全</w:t>
            </w:r>
            <w:r>
              <w:rPr>
                <w:rFonts w:ascii="微软雅黑" w:hAnsi="微软雅黑" w:eastAsia="微软雅黑" w:cs="微软雅黑"/>
                <w:kern w:val="0"/>
                <w:sz w:val="24"/>
                <w:highlight w:val="none"/>
                <w14:ligatures w14:val="none"/>
              </w:rPr>
              <w:t>匹配</w:t>
            </w:r>
          </w:p>
        </w:tc>
      </w:tr>
    </w:tbl>
    <w:tbl>
      <w:tblPr>
        <w:tblStyle w:val="44"/>
        <w:tblpPr w:leftFromText="180" w:rightFromText="180" w:vertAnchor="text" w:horzAnchor="margin" w:tblpY="1833"/>
        <w:tblW w:w="5010" w:type="pct"/>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8" w:type="dxa"/>
          <w:bottom w:w="0" w:type="dxa"/>
          <w:right w:w="108" w:type="dxa"/>
        </w:tblCellMar>
      </w:tblPr>
      <w:tblGrid>
        <w:gridCol w:w="1569"/>
        <w:gridCol w:w="1650"/>
        <w:gridCol w:w="1699"/>
        <w:gridCol w:w="1780"/>
        <w:gridCol w:w="1841"/>
      </w:tblGrid>
      <w:tr w14:paraId="7041113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vMerge w:val="restart"/>
            <w:tcBorders>
              <w:top w:val="single" w:color="404040" w:sz="4" w:space="0"/>
              <w:left w:val="single" w:color="404040" w:sz="4" w:space="0"/>
              <w:bottom w:val="single" w:color="404040" w:sz="4" w:space="0"/>
              <w:right w:val="single" w:color="404040" w:sz="4" w:space="0"/>
            </w:tcBorders>
            <w:vAlign w:val="center"/>
          </w:tcPr>
          <w:p w14:paraId="506ED78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Loci</w:t>
            </w:r>
          </w:p>
        </w:tc>
        <w:tc>
          <w:tcPr>
            <w:tcW w:w="1961" w:type="pct"/>
            <w:gridSpan w:val="2"/>
            <w:tcBorders>
              <w:top w:val="single" w:color="404040" w:sz="4" w:space="0"/>
              <w:left w:val="single" w:color="404040" w:sz="4" w:space="0"/>
              <w:bottom w:val="single" w:color="404040" w:sz="4" w:space="0"/>
              <w:right w:val="single" w:color="404040" w:sz="4" w:space="0"/>
            </w:tcBorders>
            <w:vAlign w:val="center"/>
          </w:tcPr>
          <w:p w14:paraId="474EAC62">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送检细胞STR信息</w:t>
            </w:r>
          </w:p>
        </w:tc>
        <w:tc>
          <w:tcPr>
            <w:tcW w:w="2120" w:type="pct"/>
            <w:gridSpan w:val="2"/>
            <w:tcBorders>
              <w:top w:val="single" w:color="404040" w:sz="4" w:space="0"/>
              <w:left w:val="single" w:color="404040" w:sz="4" w:space="0"/>
              <w:bottom w:val="single" w:color="404040" w:sz="4" w:space="0"/>
              <w:right w:val="single" w:color="404040" w:sz="4" w:space="0"/>
            </w:tcBorders>
            <w:vAlign w:val="center"/>
          </w:tcPr>
          <w:p w14:paraId="303805B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细胞库细胞STR信息</w:t>
            </w:r>
          </w:p>
        </w:tc>
      </w:tr>
      <w:tr w14:paraId="18E5702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vMerge w:val="continue"/>
            <w:tcBorders>
              <w:top w:val="single" w:color="404040" w:sz="4" w:space="0"/>
              <w:left w:val="single" w:color="404040" w:sz="4" w:space="0"/>
              <w:bottom w:val="single" w:color="404040" w:sz="4" w:space="0"/>
              <w:right w:val="single" w:color="404040" w:sz="4" w:space="0"/>
            </w:tcBorders>
            <w:vAlign w:val="center"/>
          </w:tcPr>
          <w:p w14:paraId="0B3DE72A">
            <w:pPr>
              <w:widowControl/>
              <w:spacing w:after="0" w:line="240" w:lineRule="auto"/>
              <w:jc w:val="center"/>
              <w:rPr>
                <w:rFonts w:hint="eastAsia" w:ascii="宋体" w:hAnsi="宋体" w:eastAsia="宋体" w:cs="Times New Roman"/>
                <w:kern w:val="0"/>
                <w:sz w:val="21"/>
                <w:szCs w:val="21"/>
                <w14:ligatures w14:val="none"/>
              </w:rPr>
            </w:pPr>
          </w:p>
        </w:tc>
        <w:tc>
          <w:tcPr>
            <w:tcW w:w="1961" w:type="pct"/>
            <w:gridSpan w:val="2"/>
            <w:tcBorders>
              <w:top w:val="single" w:color="404040" w:sz="4" w:space="0"/>
              <w:left w:val="single" w:color="404040" w:sz="4" w:space="0"/>
              <w:bottom w:val="single" w:color="404040" w:sz="4" w:space="0"/>
              <w:right w:val="single" w:color="404040" w:sz="4" w:space="0"/>
            </w:tcBorders>
            <w:vAlign w:val="center"/>
          </w:tcPr>
          <w:p w14:paraId="60D9DFB1">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样品编号：M</w:t>
            </w:r>
          </w:p>
        </w:tc>
        <w:tc>
          <w:tcPr>
            <w:tcW w:w="2120" w:type="pct"/>
            <w:gridSpan w:val="2"/>
            <w:tcBorders>
              <w:top w:val="single" w:color="404040" w:sz="4" w:space="0"/>
              <w:left w:val="single" w:color="404040" w:sz="4" w:space="0"/>
              <w:bottom w:val="single" w:color="404040" w:sz="4" w:space="0"/>
              <w:right w:val="single" w:color="404040" w:sz="4" w:space="0"/>
            </w:tcBorders>
            <w:vAlign w:val="center"/>
          </w:tcPr>
          <w:p w14:paraId="2167744D">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细胞库细胞名：SW480</w:t>
            </w:r>
          </w:p>
        </w:tc>
      </w:tr>
      <w:tr w14:paraId="7A091AB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vMerge w:val="continue"/>
            <w:tcBorders>
              <w:top w:val="single" w:color="404040" w:sz="4" w:space="0"/>
              <w:left w:val="single" w:color="404040" w:sz="4" w:space="0"/>
              <w:bottom w:val="single" w:color="404040" w:sz="4" w:space="0"/>
              <w:right w:val="single" w:color="404040" w:sz="4" w:space="0"/>
            </w:tcBorders>
            <w:vAlign w:val="center"/>
          </w:tcPr>
          <w:p w14:paraId="350BB11A">
            <w:pPr>
              <w:widowControl/>
              <w:spacing w:after="0" w:line="240" w:lineRule="auto"/>
              <w:jc w:val="center"/>
              <w:rPr>
                <w:rFonts w:hint="eastAsia" w:ascii="宋体" w:hAnsi="宋体" w:eastAsia="宋体" w:cs="Times New Roman"/>
                <w:kern w:val="0"/>
                <w:sz w:val="21"/>
                <w:szCs w:val="21"/>
                <w14:ligatures w14:val="none"/>
              </w:rPr>
            </w:pPr>
          </w:p>
        </w:tc>
        <w:tc>
          <w:tcPr>
            <w:tcW w:w="966" w:type="pct"/>
            <w:tcBorders>
              <w:top w:val="single" w:color="404040" w:sz="4" w:space="0"/>
              <w:left w:val="single" w:color="404040" w:sz="4" w:space="0"/>
              <w:bottom w:val="single" w:color="404040" w:sz="4" w:space="0"/>
              <w:right w:val="single" w:color="404040" w:sz="4" w:space="0"/>
            </w:tcBorders>
            <w:vAlign w:val="center"/>
          </w:tcPr>
          <w:p w14:paraId="1C9609BD">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Allele1</w:t>
            </w:r>
          </w:p>
        </w:tc>
        <w:tc>
          <w:tcPr>
            <w:tcW w:w="995" w:type="pct"/>
            <w:tcBorders>
              <w:top w:val="single" w:color="404040" w:sz="4" w:space="0"/>
              <w:left w:val="single" w:color="404040" w:sz="4" w:space="0"/>
              <w:bottom w:val="single" w:color="404040" w:sz="4" w:space="0"/>
              <w:right w:val="single" w:color="404040" w:sz="4" w:space="0"/>
            </w:tcBorders>
            <w:vAlign w:val="center"/>
          </w:tcPr>
          <w:p w14:paraId="43006297">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Allele2</w:t>
            </w:r>
          </w:p>
        </w:tc>
        <w:tc>
          <w:tcPr>
            <w:tcW w:w="1042" w:type="pct"/>
            <w:tcBorders>
              <w:top w:val="single" w:color="404040" w:sz="4" w:space="0"/>
              <w:left w:val="single" w:color="404040" w:sz="4" w:space="0"/>
              <w:bottom w:val="single" w:color="404040" w:sz="4" w:space="0"/>
              <w:right w:val="single" w:color="auto" w:sz="4" w:space="0"/>
            </w:tcBorders>
            <w:vAlign w:val="center"/>
          </w:tcPr>
          <w:p w14:paraId="00D306E9">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Allele1</w:t>
            </w:r>
          </w:p>
        </w:tc>
        <w:tc>
          <w:tcPr>
            <w:tcW w:w="1078" w:type="pct"/>
            <w:tcBorders>
              <w:top w:val="single" w:color="404040" w:sz="4" w:space="0"/>
              <w:left w:val="single" w:color="auto" w:sz="4" w:space="0"/>
              <w:bottom w:val="single" w:color="404040" w:sz="4" w:space="0"/>
              <w:right w:val="single" w:color="404040" w:sz="4" w:space="0"/>
            </w:tcBorders>
            <w:vAlign w:val="center"/>
          </w:tcPr>
          <w:p w14:paraId="3ABCDA22">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Allele2</w:t>
            </w:r>
          </w:p>
        </w:tc>
      </w:tr>
      <w:tr w14:paraId="151CA1A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4A54193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D5S818</w:t>
            </w:r>
          </w:p>
        </w:tc>
        <w:tc>
          <w:tcPr>
            <w:tcW w:w="966" w:type="pct"/>
            <w:tcBorders>
              <w:top w:val="single" w:color="404040" w:sz="4" w:space="0"/>
              <w:left w:val="single" w:color="404040" w:sz="4" w:space="0"/>
              <w:bottom w:val="single" w:color="404040" w:sz="4" w:space="0"/>
              <w:right w:val="single" w:color="404040" w:sz="4" w:space="0"/>
            </w:tcBorders>
            <w:vAlign w:val="center"/>
          </w:tcPr>
          <w:p w14:paraId="1758D26A">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995" w:type="pct"/>
            <w:tcBorders>
              <w:top w:val="single" w:color="404040" w:sz="4" w:space="0"/>
              <w:left w:val="single" w:color="404040" w:sz="4" w:space="0"/>
              <w:bottom w:val="single" w:color="404040" w:sz="4" w:space="0"/>
              <w:right w:val="single" w:color="404040" w:sz="4" w:space="0"/>
            </w:tcBorders>
            <w:vAlign w:val="center"/>
          </w:tcPr>
          <w:p w14:paraId="458CE827">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42" w:type="pct"/>
            <w:tcBorders>
              <w:top w:val="single" w:color="404040" w:sz="4" w:space="0"/>
              <w:left w:val="single" w:color="404040" w:sz="4" w:space="0"/>
              <w:bottom w:val="single" w:color="404040" w:sz="4" w:space="0"/>
              <w:right w:val="single" w:color="auto" w:sz="4" w:space="0"/>
            </w:tcBorders>
            <w:vAlign w:val="center"/>
          </w:tcPr>
          <w:p w14:paraId="49B2EA1F">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78" w:type="pct"/>
            <w:tcBorders>
              <w:top w:val="single" w:color="404040" w:sz="4" w:space="0"/>
              <w:left w:val="single" w:color="auto" w:sz="4" w:space="0"/>
              <w:bottom w:val="single" w:color="404040" w:sz="4" w:space="0"/>
              <w:right w:val="single" w:color="404040" w:sz="4" w:space="0"/>
            </w:tcBorders>
            <w:vAlign w:val="center"/>
          </w:tcPr>
          <w:p w14:paraId="6FCC8BD0">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r>
      <w:tr w14:paraId="0EBB653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067142B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D13S317</w:t>
            </w:r>
          </w:p>
        </w:tc>
        <w:tc>
          <w:tcPr>
            <w:tcW w:w="966" w:type="pct"/>
            <w:tcBorders>
              <w:top w:val="single" w:color="404040" w:sz="4" w:space="0"/>
              <w:left w:val="single" w:color="404040" w:sz="4" w:space="0"/>
              <w:bottom w:val="single" w:color="404040" w:sz="4" w:space="0"/>
              <w:right w:val="single" w:color="404040" w:sz="4" w:space="0"/>
            </w:tcBorders>
            <w:vAlign w:val="center"/>
          </w:tcPr>
          <w:p w14:paraId="4219BDF9">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12</w:t>
            </w:r>
          </w:p>
        </w:tc>
        <w:tc>
          <w:tcPr>
            <w:tcW w:w="995" w:type="pct"/>
            <w:tcBorders>
              <w:top w:val="single" w:color="404040" w:sz="4" w:space="0"/>
              <w:left w:val="single" w:color="404040" w:sz="4" w:space="0"/>
              <w:bottom w:val="single" w:color="404040" w:sz="4" w:space="0"/>
              <w:right w:val="single" w:color="404040" w:sz="4" w:space="0"/>
            </w:tcBorders>
            <w:vAlign w:val="center"/>
          </w:tcPr>
          <w:p w14:paraId="7099E294">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12</w:t>
            </w:r>
          </w:p>
        </w:tc>
        <w:tc>
          <w:tcPr>
            <w:tcW w:w="1042" w:type="pct"/>
            <w:tcBorders>
              <w:top w:val="single" w:color="404040" w:sz="4" w:space="0"/>
              <w:left w:val="single" w:color="404040" w:sz="4" w:space="0"/>
              <w:bottom w:val="single" w:color="404040" w:sz="4" w:space="0"/>
              <w:right w:val="single" w:color="auto" w:sz="4" w:space="0"/>
            </w:tcBorders>
            <w:vAlign w:val="center"/>
          </w:tcPr>
          <w:p w14:paraId="5A9641E6">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12</w:t>
            </w:r>
          </w:p>
        </w:tc>
        <w:tc>
          <w:tcPr>
            <w:tcW w:w="1078" w:type="pct"/>
            <w:tcBorders>
              <w:top w:val="single" w:color="404040" w:sz="4" w:space="0"/>
              <w:left w:val="single" w:color="auto" w:sz="4" w:space="0"/>
              <w:bottom w:val="single" w:color="404040" w:sz="4" w:space="0"/>
              <w:right w:val="single" w:color="404040" w:sz="4" w:space="0"/>
            </w:tcBorders>
            <w:vAlign w:val="center"/>
          </w:tcPr>
          <w:p w14:paraId="516AF164">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12</w:t>
            </w:r>
          </w:p>
        </w:tc>
      </w:tr>
      <w:tr w14:paraId="2139EB9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4625D6CD">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D7S820</w:t>
            </w:r>
          </w:p>
        </w:tc>
        <w:tc>
          <w:tcPr>
            <w:tcW w:w="966" w:type="pct"/>
            <w:tcBorders>
              <w:top w:val="single" w:color="404040" w:sz="4" w:space="0"/>
              <w:left w:val="single" w:color="404040" w:sz="4" w:space="0"/>
              <w:bottom w:val="single" w:color="404040" w:sz="4" w:space="0"/>
              <w:right w:val="single" w:color="404040" w:sz="4" w:space="0"/>
            </w:tcBorders>
            <w:vAlign w:val="center"/>
          </w:tcPr>
          <w:p w14:paraId="34AE53AF">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c>
          <w:tcPr>
            <w:tcW w:w="995" w:type="pct"/>
            <w:tcBorders>
              <w:top w:val="single" w:color="404040" w:sz="4" w:space="0"/>
              <w:left w:val="single" w:color="404040" w:sz="4" w:space="0"/>
              <w:bottom w:val="single" w:color="404040" w:sz="4" w:space="0"/>
              <w:right w:val="single" w:color="404040" w:sz="4" w:space="0"/>
            </w:tcBorders>
            <w:vAlign w:val="center"/>
          </w:tcPr>
          <w:p w14:paraId="1ECD38E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c>
          <w:tcPr>
            <w:tcW w:w="1042" w:type="pct"/>
            <w:tcBorders>
              <w:top w:val="single" w:color="404040" w:sz="4" w:space="0"/>
              <w:left w:val="single" w:color="404040" w:sz="4" w:space="0"/>
              <w:bottom w:val="single" w:color="404040" w:sz="4" w:space="0"/>
              <w:right w:val="single" w:color="auto" w:sz="4" w:space="0"/>
            </w:tcBorders>
            <w:vAlign w:val="center"/>
          </w:tcPr>
          <w:p w14:paraId="420D48C4">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c>
          <w:tcPr>
            <w:tcW w:w="1078" w:type="pct"/>
            <w:tcBorders>
              <w:top w:val="single" w:color="404040" w:sz="4" w:space="0"/>
              <w:left w:val="single" w:color="auto" w:sz="4" w:space="0"/>
              <w:bottom w:val="single" w:color="404040" w:sz="4" w:space="0"/>
              <w:right w:val="single" w:color="404040" w:sz="4" w:space="0"/>
            </w:tcBorders>
            <w:vAlign w:val="center"/>
          </w:tcPr>
          <w:p w14:paraId="12AD664A">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r>
      <w:tr w14:paraId="31E4D0E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4610D1D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D16S539</w:t>
            </w:r>
          </w:p>
        </w:tc>
        <w:tc>
          <w:tcPr>
            <w:tcW w:w="966" w:type="pct"/>
            <w:tcBorders>
              <w:top w:val="single" w:color="404040" w:sz="4" w:space="0"/>
              <w:left w:val="single" w:color="404040" w:sz="4" w:space="0"/>
              <w:bottom w:val="single" w:color="404040" w:sz="4" w:space="0"/>
              <w:right w:val="single" w:color="404040" w:sz="4" w:space="0"/>
            </w:tcBorders>
            <w:vAlign w:val="center"/>
          </w:tcPr>
          <w:p w14:paraId="0E4FA70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995" w:type="pct"/>
            <w:tcBorders>
              <w:top w:val="single" w:color="404040" w:sz="4" w:space="0"/>
              <w:left w:val="single" w:color="404040" w:sz="4" w:space="0"/>
              <w:bottom w:val="single" w:color="404040" w:sz="4" w:space="0"/>
              <w:right w:val="single" w:color="404040" w:sz="4" w:space="0"/>
            </w:tcBorders>
            <w:vAlign w:val="center"/>
          </w:tcPr>
          <w:p w14:paraId="20C6D98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42" w:type="pct"/>
            <w:tcBorders>
              <w:top w:val="single" w:color="404040" w:sz="4" w:space="0"/>
              <w:left w:val="single" w:color="404040" w:sz="4" w:space="0"/>
              <w:bottom w:val="single" w:color="404040" w:sz="4" w:space="0"/>
              <w:right w:val="single" w:color="auto" w:sz="4" w:space="0"/>
            </w:tcBorders>
            <w:vAlign w:val="center"/>
          </w:tcPr>
          <w:p w14:paraId="07932BA5">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78" w:type="pct"/>
            <w:tcBorders>
              <w:top w:val="single" w:color="404040" w:sz="4" w:space="0"/>
              <w:left w:val="single" w:color="auto" w:sz="4" w:space="0"/>
              <w:bottom w:val="single" w:color="404040" w:sz="4" w:space="0"/>
              <w:right w:val="single" w:color="404040" w:sz="4" w:space="0"/>
            </w:tcBorders>
            <w:vAlign w:val="center"/>
          </w:tcPr>
          <w:p w14:paraId="33FDFD22">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r>
      <w:tr w14:paraId="79E4D4E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322FEA31">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vWA</w:t>
            </w:r>
          </w:p>
        </w:tc>
        <w:tc>
          <w:tcPr>
            <w:tcW w:w="966" w:type="pct"/>
            <w:tcBorders>
              <w:top w:val="single" w:color="404040" w:sz="4" w:space="0"/>
              <w:left w:val="single" w:color="404040" w:sz="4" w:space="0"/>
              <w:bottom w:val="single" w:color="404040" w:sz="4" w:space="0"/>
              <w:right w:val="single" w:color="404040" w:sz="4" w:space="0"/>
            </w:tcBorders>
            <w:vAlign w:val="center"/>
          </w:tcPr>
          <w:p w14:paraId="7338285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16</w:t>
            </w:r>
          </w:p>
        </w:tc>
        <w:tc>
          <w:tcPr>
            <w:tcW w:w="995" w:type="pct"/>
            <w:tcBorders>
              <w:top w:val="single" w:color="404040" w:sz="4" w:space="0"/>
              <w:left w:val="single" w:color="404040" w:sz="4" w:space="0"/>
              <w:bottom w:val="single" w:color="404040" w:sz="4" w:space="0"/>
              <w:right w:val="single" w:color="404040" w:sz="4" w:space="0"/>
            </w:tcBorders>
            <w:vAlign w:val="center"/>
          </w:tcPr>
          <w:p w14:paraId="4C6FDFC7">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16</w:t>
            </w:r>
          </w:p>
        </w:tc>
        <w:tc>
          <w:tcPr>
            <w:tcW w:w="1042" w:type="pct"/>
            <w:tcBorders>
              <w:top w:val="single" w:color="404040" w:sz="4" w:space="0"/>
              <w:left w:val="single" w:color="404040" w:sz="4" w:space="0"/>
              <w:bottom w:val="single" w:color="404040" w:sz="4" w:space="0"/>
              <w:right w:val="single" w:color="auto" w:sz="4" w:space="0"/>
            </w:tcBorders>
            <w:vAlign w:val="center"/>
          </w:tcPr>
          <w:p w14:paraId="7AE8B739">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16</w:t>
            </w:r>
          </w:p>
        </w:tc>
        <w:tc>
          <w:tcPr>
            <w:tcW w:w="1078" w:type="pct"/>
            <w:tcBorders>
              <w:top w:val="single" w:color="404040" w:sz="4" w:space="0"/>
              <w:left w:val="single" w:color="auto" w:sz="4" w:space="0"/>
              <w:bottom w:val="single" w:color="404040" w:sz="4" w:space="0"/>
              <w:right w:val="single" w:color="404040" w:sz="4" w:space="0"/>
            </w:tcBorders>
            <w:vAlign w:val="center"/>
          </w:tcPr>
          <w:p w14:paraId="4CC9EF0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16</w:t>
            </w:r>
          </w:p>
        </w:tc>
      </w:tr>
      <w:tr w14:paraId="5993BA0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5AC8CCE7">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TH01</w:t>
            </w:r>
          </w:p>
        </w:tc>
        <w:tc>
          <w:tcPr>
            <w:tcW w:w="966" w:type="pct"/>
            <w:tcBorders>
              <w:top w:val="single" w:color="404040" w:sz="4" w:space="0"/>
              <w:left w:val="single" w:color="404040" w:sz="4" w:space="0"/>
              <w:bottom w:val="single" w:color="404040" w:sz="4" w:space="0"/>
              <w:right w:val="single" w:color="404040" w:sz="4" w:space="0"/>
            </w:tcBorders>
            <w:vAlign w:val="center"/>
          </w:tcPr>
          <w:p w14:paraId="6469A73D">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c>
          <w:tcPr>
            <w:tcW w:w="995" w:type="pct"/>
            <w:tcBorders>
              <w:top w:val="single" w:color="404040" w:sz="4" w:space="0"/>
              <w:left w:val="single" w:color="404040" w:sz="4" w:space="0"/>
              <w:bottom w:val="single" w:color="404040" w:sz="4" w:space="0"/>
              <w:right w:val="single" w:color="404040" w:sz="4" w:space="0"/>
            </w:tcBorders>
            <w:vAlign w:val="center"/>
          </w:tcPr>
          <w:p w14:paraId="4441A986">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c>
          <w:tcPr>
            <w:tcW w:w="1042" w:type="pct"/>
            <w:tcBorders>
              <w:top w:val="single" w:color="404040" w:sz="4" w:space="0"/>
              <w:left w:val="single" w:color="404040" w:sz="4" w:space="0"/>
              <w:bottom w:val="single" w:color="404040" w:sz="4" w:space="0"/>
              <w:right w:val="single" w:color="auto" w:sz="4" w:space="0"/>
            </w:tcBorders>
            <w:vAlign w:val="center"/>
          </w:tcPr>
          <w:p w14:paraId="261155C5">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c>
          <w:tcPr>
            <w:tcW w:w="1078" w:type="pct"/>
            <w:tcBorders>
              <w:top w:val="single" w:color="404040" w:sz="4" w:space="0"/>
              <w:left w:val="single" w:color="auto" w:sz="4" w:space="0"/>
              <w:bottom w:val="single" w:color="404040" w:sz="4" w:space="0"/>
              <w:right w:val="single" w:color="404040" w:sz="4" w:space="0"/>
            </w:tcBorders>
            <w:vAlign w:val="center"/>
          </w:tcPr>
          <w:p w14:paraId="0214231D">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r>
      <w:tr w14:paraId="6F6AB74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13542B49">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TPOX</w:t>
            </w:r>
          </w:p>
        </w:tc>
        <w:tc>
          <w:tcPr>
            <w:tcW w:w="966" w:type="pct"/>
            <w:tcBorders>
              <w:top w:val="single" w:color="404040" w:sz="4" w:space="0"/>
              <w:left w:val="single" w:color="404040" w:sz="4" w:space="0"/>
              <w:bottom w:val="single" w:color="404040" w:sz="4" w:space="0"/>
              <w:right w:val="single" w:color="404040" w:sz="4" w:space="0"/>
            </w:tcBorders>
            <w:vAlign w:val="center"/>
          </w:tcPr>
          <w:p w14:paraId="1F0D555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11</w:t>
            </w:r>
          </w:p>
        </w:tc>
        <w:tc>
          <w:tcPr>
            <w:tcW w:w="995" w:type="pct"/>
            <w:tcBorders>
              <w:top w:val="single" w:color="404040" w:sz="4" w:space="0"/>
              <w:left w:val="single" w:color="404040" w:sz="4" w:space="0"/>
              <w:bottom w:val="single" w:color="404040" w:sz="4" w:space="0"/>
              <w:right w:val="single" w:color="404040" w:sz="4" w:space="0"/>
            </w:tcBorders>
            <w:vAlign w:val="center"/>
          </w:tcPr>
          <w:p w14:paraId="5D90429F">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11</w:t>
            </w:r>
          </w:p>
        </w:tc>
        <w:tc>
          <w:tcPr>
            <w:tcW w:w="1042" w:type="pct"/>
            <w:tcBorders>
              <w:top w:val="single" w:color="404040" w:sz="4" w:space="0"/>
              <w:left w:val="single" w:color="404040" w:sz="4" w:space="0"/>
              <w:bottom w:val="single" w:color="404040" w:sz="4" w:space="0"/>
              <w:right w:val="single" w:color="auto" w:sz="4" w:space="0"/>
            </w:tcBorders>
            <w:vAlign w:val="center"/>
          </w:tcPr>
          <w:p w14:paraId="0258C14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11</w:t>
            </w:r>
          </w:p>
        </w:tc>
        <w:tc>
          <w:tcPr>
            <w:tcW w:w="1078" w:type="pct"/>
            <w:tcBorders>
              <w:top w:val="single" w:color="404040" w:sz="4" w:space="0"/>
              <w:left w:val="single" w:color="auto" w:sz="4" w:space="0"/>
              <w:bottom w:val="single" w:color="404040" w:sz="4" w:space="0"/>
              <w:right w:val="single" w:color="404040" w:sz="4" w:space="0"/>
            </w:tcBorders>
            <w:vAlign w:val="center"/>
          </w:tcPr>
          <w:p w14:paraId="21FC844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11</w:t>
            </w:r>
          </w:p>
        </w:tc>
      </w:tr>
      <w:tr w14:paraId="27683C3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6C065E28">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CSF1PO</w:t>
            </w:r>
          </w:p>
        </w:tc>
        <w:tc>
          <w:tcPr>
            <w:tcW w:w="966" w:type="pct"/>
            <w:tcBorders>
              <w:top w:val="single" w:color="404040" w:sz="4" w:space="0"/>
              <w:left w:val="single" w:color="404040" w:sz="4" w:space="0"/>
              <w:bottom w:val="single" w:color="404040" w:sz="4" w:space="0"/>
              <w:right w:val="single" w:color="404040" w:sz="4" w:space="0"/>
            </w:tcBorders>
            <w:vAlign w:val="center"/>
          </w:tcPr>
          <w:p w14:paraId="4B572170">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995" w:type="pct"/>
            <w:tcBorders>
              <w:top w:val="single" w:color="404040" w:sz="4" w:space="0"/>
              <w:left w:val="single" w:color="404040" w:sz="4" w:space="0"/>
              <w:bottom w:val="single" w:color="404040" w:sz="4" w:space="0"/>
              <w:right w:val="single" w:color="404040" w:sz="4" w:space="0"/>
            </w:tcBorders>
            <w:vAlign w:val="center"/>
          </w:tcPr>
          <w:p w14:paraId="68AA97B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14</w:t>
            </w:r>
          </w:p>
        </w:tc>
        <w:tc>
          <w:tcPr>
            <w:tcW w:w="1042" w:type="pct"/>
            <w:tcBorders>
              <w:top w:val="single" w:color="404040" w:sz="4" w:space="0"/>
              <w:left w:val="single" w:color="404040" w:sz="4" w:space="0"/>
              <w:bottom w:val="single" w:color="404040" w:sz="4" w:space="0"/>
              <w:right w:val="single" w:color="auto" w:sz="4" w:space="0"/>
            </w:tcBorders>
            <w:vAlign w:val="center"/>
          </w:tcPr>
          <w:p w14:paraId="738BDD29">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78" w:type="pct"/>
            <w:tcBorders>
              <w:top w:val="single" w:color="404040" w:sz="4" w:space="0"/>
              <w:left w:val="single" w:color="auto" w:sz="4" w:space="0"/>
              <w:bottom w:val="single" w:color="404040" w:sz="4" w:space="0"/>
              <w:right w:val="single" w:color="404040" w:sz="4" w:space="0"/>
            </w:tcBorders>
            <w:vAlign w:val="center"/>
          </w:tcPr>
          <w:p w14:paraId="57B0743D">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14</w:t>
            </w:r>
          </w:p>
        </w:tc>
      </w:tr>
      <w:tr w14:paraId="10FFF02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64DB3E68">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AMEL</w:t>
            </w:r>
          </w:p>
        </w:tc>
        <w:tc>
          <w:tcPr>
            <w:tcW w:w="966" w:type="pct"/>
            <w:tcBorders>
              <w:top w:val="single" w:color="404040" w:sz="4" w:space="0"/>
              <w:left w:val="single" w:color="404040" w:sz="4" w:space="0"/>
              <w:bottom w:val="single" w:color="404040" w:sz="4" w:space="0"/>
              <w:right w:val="single" w:color="404040" w:sz="4" w:space="0"/>
            </w:tcBorders>
            <w:vAlign w:val="center"/>
          </w:tcPr>
          <w:p w14:paraId="49F6049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X</w:t>
            </w:r>
          </w:p>
        </w:tc>
        <w:tc>
          <w:tcPr>
            <w:tcW w:w="995" w:type="pct"/>
            <w:tcBorders>
              <w:top w:val="single" w:color="404040" w:sz="4" w:space="0"/>
              <w:left w:val="single" w:color="404040" w:sz="4" w:space="0"/>
              <w:bottom w:val="single" w:color="404040" w:sz="4" w:space="0"/>
              <w:right w:val="single" w:color="404040" w:sz="4" w:space="0"/>
            </w:tcBorders>
            <w:vAlign w:val="center"/>
          </w:tcPr>
          <w:p w14:paraId="7E1B8C91">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X</w:t>
            </w:r>
          </w:p>
        </w:tc>
        <w:tc>
          <w:tcPr>
            <w:tcW w:w="1042" w:type="pct"/>
            <w:tcBorders>
              <w:top w:val="single" w:color="404040" w:sz="4" w:space="0"/>
              <w:left w:val="single" w:color="404040" w:sz="4" w:space="0"/>
              <w:bottom w:val="single" w:color="404040" w:sz="4" w:space="0"/>
              <w:right w:val="single" w:color="auto" w:sz="4" w:space="0"/>
            </w:tcBorders>
            <w:vAlign w:val="center"/>
          </w:tcPr>
          <w:p w14:paraId="01EC83DA">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X</w:t>
            </w:r>
          </w:p>
        </w:tc>
        <w:tc>
          <w:tcPr>
            <w:tcW w:w="1078" w:type="pct"/>
            <w:tcBorders>
              <w:top w:val="single" w:color="404040" w:sz="4" w:space="0"/>
              <w:left w:val="single" w:color="auto" w:sz="4" w:space="0"/>
              <w:bottom w:val="single" w:color="404040" w:sz="4" w:space="0"/>
              <w:right w:val="single" w:color="404040" w:sz="4" w:space="0"/>
            </w:tcBorders>
            <w:vAlign w:val="center"/>
          </w:tcPr>
          <w:p w14:paraId="698AE855">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X</w:t>
            </w:r>
          </w:p>
        </w:tc>
      </w:tr>
      <w:tr w14:paraId="67E27F7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45ADE36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D3S1358</w:t>
            </w:r>
          </w:p>
        </w:tc>
        <w:tc>
          <w:tcPr>
            <w:tcW w:w="966" w:type="pct"/>
            <w:tcBorders>
              <w:top w:val="single" w:color="404040" w:sz="4" w:space="0"/>
              <w:left w:val="single" w:color="404040" w:sz="4" w:space="0"/>
              <w:bottom w:val="single" w:color="404040" w:sz="4" w:space="0"/>
              <w:right w:val="single" w:color="404040" w:sz="4" w:space="0"/>
            </w:tcBorders>
            <w:vAlign w:val="center"/>
          </w:tcPr>
          <w:p w14:paraId="3AF91C2A">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15</w:t>
            </w:r>
          </w:p>
        </w:tc>
        <w:tc>
          <w:tcPr>
            <w:tcW w:w="995" w:type="pct"/>
            <w:tcBorders>
              <w:top w:val="single" w:color="404040" w:sz="4" w:space="0"/>
              <w:left w:val="single" w:color="404040" w:sz="4" w:space="0"/>
              <w:bottom w:val="single" w:color="404040" w:sz="4" w:space="0"/>
              <w:right w:val="single" w:color="404040" w:sz="4" w:space="0"/>
            </w:tcBorders>
            <w:vAlign w:val="center"/>
          </w:tcPr>
          <w:p w14:paraId="01BA50E0">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15</w:t>
            </w:r>
          </w:p>
        </w:tc>
        <w:tc>
          <w:tcPr>
            <w:tcW w:w="1042" w:type="pct"/>
            <w:tcBorders>
              <w:top w:val="single" w:color="404040" w:sz="4" w:space="0"/>
              <w:left w:val="single" w:color="404040" w:sz="4" w:space="0"/>
              <w:bottom w:val="single" w:color="404040" w:sz="4" w:space="0"/>
              <w:right w:val="single" w:color="auto" w:sz="4" w:space="0"/>
            </w:tcBorders>
            <w:vAlign w:val="center"/>
          </w:tcPr>
          <w:p w14:paraId="63BD5E24">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15</w:t>
            </w:r>
          </w:p>
        </w:tc>
        <w:tc>
          <w:tcPr>
            <w:tcW w:w="1078" w:type="pct"/>
            <w:tcBorders>
              <w:top w:val="single" w:color="404040" w:sz="4" w:space="0"/>
              <w:left w:val="single" w:color="auto" w:sz="4" w:space="0"/>
              <w:bottom w:val="single" w:color="404040" w:sz="4" w:space="0"/>
              <w:right w:val="single" w:color="404040" w:sz="4" w:space="0"/>
            </w:tcBorders>
            <w:vAlign w:val="center"/>
          </w:tcPr>
          <w:p w14:paraId="72D170D5">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15</w:t>
            </w:r>
          </w:p>
        </w:tc>
      </w:tr>
      <w:tr w14:paraId="3AF9704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7741854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D21S11</w:t>
            </w:r>
          </w:p>
        </w:tc>
        <w:tc>
          <w:tcPr>
            <w:tcW w:w="966" w:type="pct"/>
            <w:tcBorders>
              <w:top w:val="single" w:color="404040" w:sz="4" w:space="0"/>
              <w:left w:val="single" w:color="404040" w:sz="4" w:space="0"/>
              <w:bottom w:val="single" w:color="404040" w:sz="4" w:space="0"/>
              <w:right w:val="single" w:color="404040" w:sz="4" w:space="0"/>
            </w:tcBorders>
            <w:vAlign w:val="center"/>
          </w:tcPr>
          <w:p w14:paraId="27A398D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30</w:t>
            </w:r>
          </w:p>
        </w:tc>
        <w:tc>
          <w:tcPr>
            <w:tcW w:w="995" w:type="pct"/>
            <w:tcBorders>
              <w:top w:val="single" w:color="404040" w:sz="4" w:space="0"/>
              <w:left w:val="single" w:color="404040" w:sz="4" w:space="0"/>
              <w:bottom w:val="single" w:color="404040" w:sz="4" w:space="0"/>
              <w:right w:val="single" w:color="404040" w:sz="4" w:space="0"/>
            </w:tcBorders>
            <w:vAlign w:val="center"/>
          </w:tcPr>
          <w:p w14:paraId="4A2C319F">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30.2</w:t>
            </w:r>
          </w:p>
        </w:tc>
        <w:tc>
          <w:tcPr>
            <w:tcW w:w="1042" w:type="pct"/>
            <w:tcBorders>
              <w:top w:val="single" w:color="404040" w:sz="4" w:space="0"/>
              <w:left w:val="single" w:color="404040" w:sz="4" w:space="0"/>
              <w:bottom w:val="single" w:color="404040" w:sz="4" w:space="0"/>
              <w:right w:val="single" w:color="auto" w:sz="4" w:space="0"/>
            </w:tcBorders>
            <w:vAlign w:val="center"/>
          </w:tcPr>
          <w:p w14:paraId="1C788AB6">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30</w:t>
            </w:r>
          </w:p>
        </w:tc>
        <w:tc>
          <w:tcPr>
            <w:tcW w:w="1078" w:type="pct"/>
            <w:tcBorders>
              <w:top w:val="single" w:color="404040" w:sz="4" w:space="0"/>
              <w:left w:val="single" w:color="auto" w:sz="4" w:space="0"/>
              <w:bottom w:val="single" w:color="404040" w:sz="4" w:space="0"/>
              <w:right w:val="single" w:color="404040" w:sz="4" w:space="0"/>
            </w:tcBorders>
            <w:vAlign w:val="center"/>
          </w:tcPr>
          <w:p w14:paraId="576E3BD0">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30.2</w:t>
            </w:r>
          </w:p>
        </w:tc>
      </w:tr>
      <w:tr w14:paraId="271A179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0E554C35">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D18S51</w:t>
            </w:r>
          </w:p>
        </w:tc>
        <w:tc>
          <w:tcPr>
            <w:tcW w:w="966" w:type="pct"/>
            <w:tcBorders>
              <w:top w:val="single" w:color="404040" w:sz="4" w:space="0"/>
              <w:left w:val="single" w:color="404040" w:sz="4" w:space="0"/>
              <w:bottom w:val="single" w:color="404040" w:sz="4" w:space="0"/>
              <w:right w:val="single" w:color="404040" w:sz="4" w:space="0"/>
            </w:tcBorders>
            <w:vAlign w:val="center"/>
          </w:tcPr>
          <w:p w14:paraId="79593CC1">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995" w:type="pct"/>
            <w:tcBorders>
              <w:top w:val="single" w:color="404040" w:sz="4" w:space="0"/>
              <w:left w:val="single" w:color="404040" w:sz="4" w:space="0"/>
              <w:bottom w:val="single" w:color="404040" w:sz="4" w:space="0"/>
              <w:right w:val="single" w:color="404040" w:sz="4" w:space="0"/>
            </w:tcBorders>
            <w:vAlign w:val="center"/>
          </w:tcPr>
          <w:p w14:paraId="6F7CBE75">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42" w:type="pct"/>
            <w:tcBorders>
              <w:top w:val="single" w:color="404040" w:sz="4" w:space="0"/>
              <w:left w:val="single" w:color="404040" w:sz="4" w:space="0"/>
              <w:bottom w:val="single" w:color="404040" w:sz="4" w:space="0"/>
              <w:right w:val="single" w:color="auto" w:sz="4" w:space="0"/>
            </w:tcBorders>
            <w:vAlign w:val="center"/>
          </w:tcPr>
          <w:p w14:paraId="1FA38292">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78" w:type="pct"/>
            <w:tcBorders>
              <w:top w:val="single" w:color="404040" w:sz="4" w:space="0"/>
              <w:left w:val="single" w:color="auto" w:sz="4" w:space="0"/>
              <w:bottom w:val="single" w:color="404040" w:sz="4" w:space="0"/>
              <w:right w:val="single" w:color="404040" w:sz="4" w:space="0"/>
            </w:tcBorders>
            <w:vAlign w:val="center"/>
          </w:tcPr>
          <w:p w14:paraId="5ED4DC7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r>
      <w:tr w14:paraId="3C837E0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2F07162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Penta E</w:t>
            </w:r>
          </w:p>
        </w:tc>
        <w:tc>
          <w:tcPr>
            <w:tcW w:w="966" w:type="pct"/>
            <w:tcBorders>
              <w:top w:val="single" w:color="404040" w:sz="4" w:space="0"/>
              <w:left w:val="single" w:color="404040" w:sz="4" w:space="0"/>
              <w:bottom w:val="single" w:color="404040" w:sz="4" w:space="0"/>
              <w:right w:val="single" w:color="404040" w:sz="4" w:space="0"/>
            </w:tcBorders>
            <w:vAlign w:val="center"/>
          </w:tcPr>
          <w:p w14:paraId="3DEAA9E5">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10</w:t>
            </w:r>
          </w:p>
        </w:tc>
        <w:tc>
          <w:tcPr>
            <w:tcW w:w="995" w:type="pct"/>
            <w:tcBorders>
              <w:top w:val="single" w:color="404040" w:sz="4" w:space="0"/>
              <w:left w:val="single" w:color="404040" w:sz="4" w:space="0"/>
              <w:bottom w:val="single" w:color="404040" w:sz="4" w:space="0"/>
              <w:right w:val="single" w:color="404040" w:sz="4" w:space="0"/>
            </w:tcBorders>
            <w:vAlign w:val="center"/>
          </w:tcPr>
          <w:p w14:paraId="6E847F18">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10</w:t>
            </w:r>
          </w:p>
        </w:tc>
        <w:tc>
          <w:tcPr>
            <w:tcW w:w="1042" w:type="pct"/>
            <w:tcBorders>
              <w:top w:val="single" w:color="404040" w:sz="4" w:space="0"/>
              <w:left w:val="single" w:color="404040" w:sz="4" w:space="0"/>
              <w:bottom w:val="single" w:color="404040" w:sz="4" w:space="0"/>
              <w:right w:val="single" w:color="auto" w:sz="4" w:space="0"/>
            </w:tcBorders>
            <w:vAlign w:val="center"/>
          </w:tcPr>
          <w:p w14:paraId="6C0CB1C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10</w:t>
            </w:r>
          </w:p>
        </w:tc>
        <w:tc>
          <w:tcPr>
            <w:tcW w:w="1078" w:type="pct"/>
            <w:tcBorders>
              <w:top w:val="single" w:color="404040" w:sz="4" w:space="0"/>
              <w:left w:val="single" w:color="auto" w:sz="4" w:space="0"/>
              <w:bottom w:val="single" w:color="404040" w:sz="4" w:space="0"/>
              <w:right w:val="single" w:color="404040" w:sz="4" w:space="0"/>
            </w:tcBorders>
            <w:vAlign w:val="center"/>
          </w:tcPr>
          <w:p w14:paraId="3E0E0FD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10</w:t>
            </w:r>
          </w:p>
        </w:tc>
      </w:tr>
      <w:tr w14:paraId="2BBFA54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1B85DBB6">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Penta D</w:t>
            </w:r>
          </w:p>
        </w:tc>
        <w:tc>
          <w:tcPr>
            <w:tcW w:w="966" w:type="pct"/>
            <w:tcBorders>
              <w:top w:val="single" w:color="404040" w:sz="4" w:space="0"/>
              <w:left w:val="single" w:color="404040" w:sz="4" w:space="0"/>
              <w:bottom w:val="single" w:color="404040" w:sz="4" w:space="0"/>
              <w:right w:val="single" w:color="404040" w:sz="4" w:space="0"/>
            </w:tcBorders>
            <w:vAlign w:val="center"/>
          </w:tcPr>
          <w:p w14:paraId="794A8571">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9</w:t>
            </w:r>
          </w:p>
        </w:tc>
        <w:tc>
          <w:tcPr>
            <w:tcW w:w="995" w:type="pct"/>
            <w:tcBorders>
              <w:top w:val="single" w:color="404040" w:sz="4" w:space="0"/>
              <w:left w:val="single" w:color="404040" w:sz="4" w:space="0"/>
              <w:bottom w:val="single" w:color="404040" w:sz="4" w:space="0"/>
              <w:right w:val="single" w:color="404040" w:sz="4" w:space="0"/>
            </w:tcBorders>
            <w:vAlign w:val="center"/>
          </w:tcPr>
          <w:p w14:paraId="3AEE465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15</w:t>
            </w:r>
          </w:p>
        </w:tc>
        <w:tc>
          <w:tcPr>
            <w:tcW w:w="1042" w:type="pct"/>
            <w:tcBorders>
              <w:top w:val="single" w:color="404040" w:sz="4" w:space="0"/>
              <w:left w:val="single" w:color="404040" w:sz="4" w:space="0"/>
              <w:bottom w:val="single" w:color="404040" w:sz="4" w:space="0"/>
              <w:right w:val="single" w:color="auto" w:sz="4" w:space="0"/>
            </w:tcBorders>
            <w:vAlign w:val="center"/>
          </w:tcPr>
          <w:p w14:paraId="620CA4CF">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9</w:t>
            </w:r>
          </w:p>
        </w:tc>
        <w:tc>
          <w:tcPr>
            <w:tcW w:w="1078" w:type="pct"/>
            <w:tcBorders>
              <w:top w:val="single" w:color="404040" w:sz="4" w:space="0"/>
              <w:left w:val="single" w:color="auto" w:sz="4" w:space="0"/>
              <w:bottom w:val="single" w:color="404040" w:sz="4" w:space="0"/>
              <w:right w:val="single" w:color="404040" w:sz="4" w:space="0"/>
            </w:tcBorders>
            <w:vAlign w:val="center"/>
          </w:tcPr>
          <w:p w14:paraId="1A1B7E0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15</w:t>
            </w:r>
          </w:p>
        </w:tc>
      </w:tr>
      <w:tr w14:paraId="2143B92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72350FA6">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D8S1179</w:t>
            </w:r>
          </w:p>
        </w:tc>
        <w:tc>
          <w:tcPr>
            <w:tcW w:w="966" w:type="pct"/>
            <w:tcBorders>
              <w:top w:val="single" w:color="404040" w:sz="4" w:space="0"/>
              <w:left w:val="single" w:color="404040" w:sz="4" w:space="0"/>
              <w:bottom w:val="single" w:color="404040" w:sz="4" w:space="0"/>
              <w:right w:val="single" w:color="404040" w:sz="4" w:space="0"/>
            </w:tcBorders>
            <w:vAlign w:val="center"/>
          </w:tcPr>
          <w:p w14:paraId="78A65899">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995" w:type="pct"/>
            <w:tcBorders>
              <w:top w:val="single" w:color="404040" w:sz="4" w:space="0"/>
              <w:left w:val="single" w:color="404040" w:sz="4" w:space="0"/>
              <w:bottom w:val="single" w:color="404040" w:sz="4" w:space="0"/>
              <w:right w:val="single" w:color="404040" w:sz="4" w:space="0"/>
            </w:tcBorders>
            <w:vAlign w:val="center"/>
          </w:tcPr>
          <w:p w14:paraId="20A1EB2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42" w:type="pct"/>
            <w:tcBorders>
              <w:top w:val="single" w:color="404040" w:sz="4" w:space="0"/>
              <w:left w:val="single" w:color="404040" w:sz="4" w:space="0"/>
              <w:bottom w:val="single" w:color="404040" w:sz="4" w:space="0"/>
              <w:right w:val="single" w:color="auto" w:sz="4" w:space="0"/>
            </w:tcBorders>
            <w:vAlign w:val="center"/>
          </w:tcPr>
          <w:p w14:paraId="7EC81874">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78" w:type="pct"/>
            <w:tcBorders>
              <w:top w:val="single" w:color="404040" w:sz="4" w:space="0"/>
              <w:left w:val="single" w:color="auto" w:sz="4" w:space="0"/>
              <w:bottom w:val="single" w:color="404040" w:sz="4" w:space="0"/>
              <w:right w:val="single" w:color="404040" w:sz="4" w:space="0"/>
            </w:tcBorders>
            <w:vAlign w:val="center"/>
          </w:tcPr>
          <w:p w14:paraId="5D5F04B0">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r>
      <w:tr w14:paraId="5955C82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3E23694F">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FGA</w:t>
            </w:r>
          </w:p>
        </w:tc>
        <w:tc>
          <w:tcPr>
            <w:tcW w:w="966" w:type="pct"/>
            <w:tcBorders>
              <w:top w:val="single" w:color="404040" w:sz="4" w:space="0"/>
              <w:left w:val="single" w:color="404040" w:sz="4" w:space="0"/>
              <w:bottom w:val="single" w:color="404040" w:sz="4" w:space="0"/>
              <w:right w:val="single" w:color="404040" w:sz="4" w:space="0"/>
            </w:tcBorders>
            <w:vAlign w:val="center"/>
          </w:tcPr>
          <w:p w14:paraId="6F8BC880">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24</w:t>
            </w:r>
          </w:p>
        </w:tc>
        <w:tc>
          <w:tcPr>
            <w:tcW w:w="995" w:type="pct"/>
            <w:tcBorders>
              <w:top w:val="single" w:color="404040" w:sz="4" w:space="0"/>
              <w:left w:val="single" w:color="404040" w:sz="4" w:space="0"/>
              <w:bottom w:val="single" w:color="404040" w:sz="4" w:space="0"/>
              <w:right w:val="single" w:color="404040" w:sz="4" w:space="0"/>
            </w:tcBorders>
            <w:vAlign w:val="center"/>
          </w:tcPr>
          <w:p w14:paraId="6097B74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24</w:t>
            </w:r>
          </w:p>
        </w:tc>
        <w:tc>
          <w:tcPr>
            <w:tcW w:w="1042" w:type="pct"/>
            <w:tcBorders>
              <w:top w:val="single" w:color="404040" w:sz="4" w:space="0"/>
              <w:left w:val="single" w:color="404040" w:sz="4" w:space="0"/>
              <w:bottom w:val="single" w:color="404040" w:sz="4" w:space="0"/>
              <w:right w:val="single" w:color="auto" w:sz="4" w:space="0"/>
            </w:tcBorders>
            <w:vAlign w:val="center"/>
          </w:tcPr>
          <w:p w14:paraId="37601F40">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24</w:t>
            </w:r>
          </w:p>
        </w:tc>
        <w:tc>
          <w:tcPr>
            <w:tcW w:w="1078" w:type="pct"/>
            <w:tcBorders>
              <w:top w:val="single" w:color="404040" w:sz="4" w:space="0"/>
              <w:left w:val="single" w:color="auto" w:sz="4" w:space="0"/>
              <w:bottom w:val="single" w:color="404040" w:sz="4" w:space="0"/>
              <w:right w:val="single" w:color="404040" w:sz="4" w:space="0"/>
            </w:tcBorders>
            <w:vAlign w:val="center"/>
          </w:tcPr>
          <w:p w14:paraId="7D9BB40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24</w:t>
            </w:r>
          </w:p>
        </w:tc>
      </w:tr>
      <w:tr w14:paraId="5A68EC1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4AEC841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D19S433</w:t>
            </w:r>
          </w:p>
        </w:tc>
        <w:tc>
          <w:tcPr>
            <w:tcW w:w="966" w:type="pct"/>
            <w:tcBorders>
              <w:top w:val="single" w:color="404040" w:sz="4" w:space="0"/>
              <w:left w:val="single" w:color="404040" w:sz="4" w:space="0"/>
              <w:bottom w:val="single" w:color="404040" w:sz="4" w:space="0"/>
              <w:right w:val="single" w:color="404040" w:sz="4" w:space="0"/>
            </w:tcBorders>
            <w:vAlign w:val="center"/>
          </w:tcPr>
          <w:p w14:paraId="6E9547B7">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995" w:type="pct"/>
            <w:tcBorders>
              <w:top w:val="single" w:color="404040" w:sz="4" w:space="0"/>
              <w:left w:val="single" w:color="404040" w:sz="4" w:space="0"/>
              <w:bottom w:val="single" w:color="404040" w:sz="4" w:space="0"/>
              <w:right w:val="single" w:color="404040" w:sz="4" w:space="0"/>
            </w:tcBorders>
            <w:vAlign w:val="center"/>
          </w:tcPr>
          <w:p w14:paraId="6FED28FF">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42" w:type="pct"/>
            <w:tcBorders>
              <w:top w:val="single" w:color="404040" w:sz="4" w:space="0"/>
              <w:left w:val="single" w:color="404040" w:sz="4" w:space="0"/>
              <w:bottom w:val="single" w:color="404040" w:sz="4" w:space="0"/>
              <w:right w:val="single" w:color="auto" w:sz="4" w:space="0"/>
            </w:tcBorders>
            <w:vAlign w:val="center"/>
          </w:tcPr>
          <w:p w14:paraId="784A9FAA">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78" w:type="pct"/>
            <w:tcBorders>
              <w:top w:val="single" w:color="404040" w:sz="4" w:space="0"/>
              <w:left w:val="single" w:color="auto" w:sz="4" w:space="0"/>
              <w:bottom w:val="single" w:color="404040" w:sz="4" w:space="0"/>
              <w:right w:val="single" w:color="404040" w:sz="4" w:space="0"/>
            </w:tcBorders>
            <w:vAlign w:val="center"/>
          </w:tcPr>
          <w:p w14:paraId="61DC45A6">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r>
      <w:tr w14:paraId="3A72AB3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0636E337">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D2S1338</w:t>
            </w:r>
          </w:p>
        </w:tc>
        <w:tc>
          <w:tcPr>
            <w:tcW w:w="966" w:type="pct"/>
            <w:tcBorders>
              <w:top w:val="single" w:color="404040" w:sz="4" w:space="0"/>
              <w:left w:val="single" w:color="404040" w:sz="4" w:space="0"/>
              <w:bottom w:val="single" w:color="404040" w:sz="4" w:space="0"/>
              <w:right w:val="single" w:color="404040" w:sz="4" w:space="0"/>
            </w:tcBorders>
            <w:vAlign w:val="center"/>
          </w:tcPr>
          <w:p w14:paraId="02B75DD2">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17</w:t>
            </w:r>
          </w:p>
        </w:tc>
        <w:tc>
          <w:tcPr>
            <w:tcW w:w="995" w:type="pct"/>
            <w:tcBorders>
              <w:top w:val="single" w:color="404040" w:sz="4" w:space="0"/>
              <w:left w:val="single" w:color="404040" w:sz="4" w:space="0"/>
              <w:bottom w:val="single" w:color="404040" w:sz="4" w:space="0"/>
              <w:right w:val="single" w:color="404040" w:sz="4" w:space="0"/>
            </w:tcBorders>
            <w:vAlign w:val="center"/>
          </w:tcPr>
          <w:p w14:paraId="4F96F48A">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24</w:t>
            </w:r>
          </w:p>
        </w:tc>
        <w:tc>
          <w:tcPr>
            <w:tcW w:w="1042" w:type="pct"/>
            <w:tcBorders>
              <w:top w:val="single" w:color="404040" w:sz="4" w:space="0"/>
              <w:left w:val="single" w:color="404040" w:sz="4" w:space="0"/>
              <w:bottom w:val="single" w:color="404040" w:sz="4" w:space="0"/>
              <w:right w:val="single" w:color="auto" w:sz="4" w:space="0"/>
            </w:tcBorders>
            <w:vAlign w:val="center"/>
          </w:tcPr>
          <w:p w14:paraId="6D30354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17</w:t>
            </w:r>
          </w:p>
        </w:tc>
        <w:tc>
          <w:tcPr>
            <w:tcW w:w="1078" w:type="pct"/>
            <w:tcBorders>
              <w:top w:val="single" w:color="404040" w:sz="4" w:space="0"/>
              <w:left w:val="single" w:color="auto" w:sz="4" w:space="0"/>
              <w:bottom w:val="single" w:color="404040" w:sz="4" w:space="0"/>
              <w:right w:val="single" w:color="404040" w:sz="4" w:space="0"/>
            </w:tcBorders>
            <w:vAlign w:val="center"/>
          </w:tcPr>
          <w:p w14:paraId="6D784818">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24</w:t>
            </w:r>
          </w:p>
        </w:tc>
      </w:tr>
    </w:tbl>
    <w:p w14:paraId="5C1E54FC">
      <w:pPr>
        <w:widowControl/>
        <w:adjustRightInd w:val="0"/>
        <w:snapToGrid w:val="0"/>
        <w:spacing w:before="160" w:line="240" w:lineRule="auto"/>
        <w:rPr>
          <w:rFonts w:ascii="Times New Roman" w:hAnsi="Times New Roman" w:eastAsia="宋体"/>
          <w:b/>
          <w:bCs/>
          <w:sz w:val="24"/>
        </w:rPr>
      </w:pPr>
      <w:r>
        <w:rPr>
          <w:rFonts w:hint="eastAsia" w:ascii="Times New Roman" w:hAnsi="Times New Roman" w:eastAsia="宋体"/>
          <w:b/>
          <w:bCs/>
          <w:sz w:val="24"/>
        </w:rPr>
        <w:t>STR位点信息：</w:t>
      </w:r>
    </w:p>
    <w:p w14:paraId="12AF2DC1">
      <w:pPr>
        <w:widowControl/>
        <w:adjustRightInd w:val="0"/>
        <w:snapToGrid w:val="0"/>
        <w:spacing w:before="160" w:line="240" w:lineRule="auto"/>
        <w:rPr>
          <w:rFonts w:ascii="Times New Roman" w:hAnsi="Times New Roman" w:eastAsia="宋体"/>
          <w:b/>
          <w:bCs/>
          <w:sz w:val="24"/>
        </w:rPr>
      </w:pPr>
    </w:p>
    <w:p w14:paraId="383B1A91">
      <w:pPr>
        <w:rPr>
          <w:rFonts w:hint="eastAsia"/>
        </w:rPr>
        <w:sectPr>
          <w:pgSz w:w="11906" w:h="16838"/>
          <w:pgMar w:top="1440" w:right="1800" w:bottom="1440" w:left="1800" w:header="851" w:footer="992" w:gutter="0"/>
          <w:cols w:space="425" w:num="1"/>
          <w:docGrid w:type="lines" w:linePitch="312" w:charSpace="0"/>
        </w:sectPr>
      </w:pPr>
    </w:p>
    <w:p w14:paraId="4E76EBFD">
      <w:pPr>
        <w:adjustRightInd w:val="0"/>
        <w:snapToGrid w:val="0"/>
        <w:spacing w:before="156" w:beforeLines="50" w:after="156" w:afterLines="50" w:line="240" w:lineRule="auto"/>
        <w:rPr>
          <w:rFonts w:hint="eastAsia" w:ascii="黑体" w:hAnsi="黑体" w:eastAsia="黑体"/>
          <w:sz w:val="28"/>
          <w:szCs w:val="28"/>
        </w:rPr>
      </w:pPr>
      <w:r>
        <w:rPr>
          <w:rFonts w:hint="eastAsia" w:ascii="黑体" w:hAnsi="黑体" w:eastAsia="黑体"/>
          <w:sz w:val="28"/>
          <w:szCs w:val="28"/>
        </w:rPr>
        <w:t>三、处理方式</w:t>
      </w:r>
    </w:p>
    <w:p w14:paraId="43483568">
      <w:pPr>
        <w:adjustRightInd w:val="0"/>
        <w:snapToGrid w:val="0"/>
        <w:spacing w:before="156" w:beforeLines="50" w:after="156" w:afterLines="50" w:line="300" w:lineRule="auto"/>
        <w:rPr>
          <w:rFonts w:hint="eastAsia" w:ascii="宋体" w:hAnsi="宋体" w:eastAsia="宋体"/>
          <w:sz w:val="24"/>
        </w:rPr>
      </w:pPr>
      <w:r>
        <w:rPr>
          <w:rFonts w:hint="eastAsia" w:ascii="宋体" w:hAnsi="宋体" w:eastAsia="宋体"/>
          <w:b/>
          <w:bCs/>
          <w:sz w:val="24"/>
        </w:rPr>
        <w:t>常温细胞处理</w:t>
      </w:r>
      <w:r>
        <w:rPr>
          <w:rFonts w:hint="eastAsia" w:ascii="宋体" w:hAnsi="宋体" w:eastAsia="宋体"/>
          <w:sz w:val="24"/>
        </w:rPr>
        <w:t>：</w:t>
      </w:r>
    </w:p>
    <w:p w14:paraId="4435B138">
      <w:pPr>
        <w:jc w:val="both"/>
        <w:rPr>
          <w:rFonts w:ascii="Times New Roman" w:hAnsi="Times New Roman" w:eastAsia="宋体"/>
          <w:sz w:val="20"/>
          <w:szCs w:val="20"/>
        </w:rPr>
      </w:pPr>
      <w:r>
        <w:rPr>
          <w:rFonts w:hint="eastAsia" w:ascii="Times New Roman" w:hAnsi="Times New Roman" w:eastAsia="宋体"/>
          <w:sz w:val="20"/>
          <w:szCs w:val="20"/>
        </w:rPr>
        <w:t>1、收到常温细胞后，及时拍照并记录有无漏液、瓶身破损现象；</w:t>
      </w:r>
    </w:p>
    <w:p w14:paraId="5ADC9466">
      <w:pPr>
        <w:jc w:val="both"/>
        <w:rPr>
          <w:rFonts w:ascii="Times New Roman" w:hAnsi="Times New Roman" w:eastAsia="宋体"/>
          <w:sz w:val="20"/>
          <w:szCs w:val="20"/>
        </w:rPr>
      </w:pPr>
      <w:r>
        <w:rPr>
          <w:rFonts w:hint="eastAsia" w:ascii="Times New Roman" w:hAnsi="Times New Roman" w:eastAsia="宋体"/>
          <w:sz w:val="20"/>
          <w:szCs w:val="20"/>
        </w:rPr>
        <w:t>2、用75%酒精擦拭细胞培养瓶表面，在显微镜下观察细胞状态。先不打开培养瓶盖，将细胞置于细胞培养箱内平衡复温2-4小时，稳定细胞状态；</w:t>
      </w:r>
    </w:p>
    <w:p w14:paraId="5B35EBD6">
      <w:pPr>
        <w:jc w:val="both"/>
        <w:rPr>
          <w:rFonts w:ascii="Times New Roman" w:hAnsi="Times New Roman" w:eastAsia="宋体"/>
          <w:sz w:val="20"/>
          <w:szCs w:val="20"/>
        </w:rPr>
      </w:pPr>
      <w:r>
        <w:rPr>
          <w:rFonts w:hint="eastAsia" w:ascii="Times New Roman" w:hAnsi="Times New Roman" w:eastAsia="宋体"/>
          <w:sz w:val="20"/>
          <w:szCs w:val="20"/>
        </w:rPr>
        <w:t>3、细胞稳定后，仔细阅读本说明书，了解细胞生长特性、培养体系、冻存条件、传代步骤等相关信息；</w:t>
      </w:r>
    </w:p>
    <w:p w14:paraId="3EA56854">
      <w:pPr>
        <w:jc w:val="both"/>
        <w:rPr>
          <w:rFonts w:ascii="Times New Roman" w:hAnsi="Times New Roman" w:eastAsia="宋体"/>
          <w:sz w:val="20"/>
          <w:szCs w:val="20"/>
        </w:rPr>
      </w:pPr>
      <w:r>
        <w:rPr>
          <w:rFonts w:hint="eastAsia" w:ascii="Times New Roman" w:hAnsi="Times New Roman" w:eastAsia="宋体"/>
          <w:sz w:val="20"/>
          <w:szCs w:val="20"/>
        </w:rPr>
        <w:t>4、吸走大部分培养基离心备用，留10-12 ml培养基，拍照并观察细胞。若细胞密度高于80%，可吸走培养基进行传代；若密度低于80%，则留10-12 ml继续培养至密度高于80%后再传代；</w:t>
      </w:r>
    </w:p>
    <w:p w14:paraId="6AA03475">
      <w:pPr>
        <w:jc w:val="both"/>
        <w:rPr>
          <w:rFonts w:ascii="Times New Roman" w:hAnsi="Times New Roman" w:eastAsia="宋体"/>
          <w:sz w:val="20"/>
          <w:szCs w:val="20"/>
        </w:rPr>
      </w:pPr>
      <w:r>
        <w:rPr>
          <w:rFonts w:hint="eastAsia" w:ascii="Times New Roman" w:hAnsi="Times New Roman" w:eastAsia="宋体"/>
          <w:sz w:val="20"/>
          <w:szCs w:val="20"/>
        </w:rPr>
        <w:t>5、T25瓶首次传代建议按1:2比例进行，即1个T25瓶传为2瓶。</w:t>
      </w:r>
    </w:p>
    <w:p w14:paraId="1F095375">
      <w:pPr>
        <w:adjustRightInd w:val="0"/>
        <w:snapToGrid w:val="0"/>
        <w:spacing w:before="156" w:beforeLines="50" w:after="156" w:afterLines="50" w:line="300" w:lineRule="auto"/>
        <w:rPr>
          <w:rFonts w:hint="eastAsia" w:ascii="宋体" w:hAnsi="宋体" w:eastAsia="宋体"/>
          <w:sz w:val="24"/>
        </w:rPr>
      </w:pPr>
      <w:r>
        <w:rPr>
          <w:rFonts w:hint="eastAsia" w:ascii="宋体" w:hAnsi="宋体" w:eastAsia="宋体"/>
          <w:b/>
          <w:bCs/>
          <w:sz w:val="24"/>
        </w:rPr>
        <w:t>冻存细胞处理</w:t>
      </w:r>
      <w:r>
        <w:rPr>
          <w:rFonts w:hint="eastAsia" w:ascii="宋体" w:hAnsi="宋体" w:eastAsia="宋体"/>
          <w:sz w:val="24"/>
        </w:rPr>
        <w:t>：</w:t>
      </w:r>
    </w:p>
    <w:p w14:paraId="43D37902">
      <w:pPr>
        <w:jc w:val="both"/>
        <w:rPr>
          <w:rFonts w:ascii="Times New Roman" w:hAnsi="Times New Roman" w:eastAsia="宋体"/>
          <w:sz w:val="20"/>
          <w:szCs w:val="20"/>
        </w:rPr>
      </w:pPr>
      <w:r>
        <w:rPr>
          <w:rFonts w:hint="eastAsia" w:ascii="Times New Roman" w:hAnsi="Times New Roman" w:eastAsia="宋体"/>
          <w:sz w:val="20"/>
          <w:szCs w:val="20"/>
        </w:rPr>
        <w:t>1、收到细胞后，开箱拍照，将冻存管置于冰上核对细胞信息，同时观察冻存管是否完好、有无解冻情况；</w:t>
      </w:r>
    </w:p>
    <w:p w14:paraId="22D622D6">
      <w:pPr>
        <w:jc w:val="both"/>
        <w:rPr>
          <w:rFonts w:ascii="Times New Roman" w:hAnsi="Times New Roman" w:eastAsia="宋体"/>
          <w:sz w:val="20"/>
          <w:szCs w:val="20"/>
        </w:rPr>
      </w:pPr>
      <w:r>
        <w:rPr>
          <w:rFonts w:hint="eastAsia" w:ascii="Times New Roman" w:hAnsi="Times New Roman" w:eastAsia="宋体"/>
          <w:sz w:val="20"/>
          <w:szCs w:val="20"/>
        </w:rPr>
        <w:t>2、若收到细胞当天不复苏，需及时将细胞转移至液氮罐（过程需迅速，避免细胞离开低温区域）；若无液氮罐，可短时间保存在- 80℃冰箱，长期保存仍需置于液氮罐；</w:t>
      </w:r>
    </w:p>
    <w:p w14:paraId="0C032ECE">
      <w:pPr>
        <w:jc w:val="both"/>
        <w:rPr>
          <w:rFonts w:ascii="Times New Roman" w:hAnsi="Times New Roman" w:eastAsia="宋体"/>
          <w:sz w:val="20"/>
          <w:szCs w:val="20"/>
        </w:rPr>
      </w:pPr>
      <w:r>
        <w:rPr>
          <w:rFonts w:hint="eastAsia" w:ascii="Times New Roman" w:hAnsi="Times New Roman" w:eastAsia="宋体"/>
          <w:sz w:val="20"/>
          <w:szCs w:val="20"/>
        </w:rPr>
        <w:t>3、提前准备适合该细胞生长的培养基，从冰箱取出后需恢复至室温再使用；</w:t>
      </w:r>
    </w:p>
    <w:p w14:paraId="71275E1D">
      <w:pPr>
        <w:jc w:val="both"/>
        <w:rPr>
          <w:rFonts w:ascii="Times New Roman" w:hAnsi="Times New Roman" w:eastAsia="宋体"/>
          <w:sz w:val="20"/>
          <w:szCs w:val="20"/>
        </w:rPr>
      </w:pPr>
      <w:r>
        <w:rPr>
          <w:rFonts w:hint="eastAsia" w:ascii="Times New Roman" w:hAnsi="Times New Roman" w:eastAsia="宋体"/>
          <w:sz w:val="20"/>
          <w:szCs w:val="20"/>
        </w:rPr>
        <w:t>4、复苏1管至1个T25瓶或6 cm培养皿中。复苏后可取少量细胞计数并检测活力。</w:t>
      </w:r>
    </w:p>
    <w:p w14:paraId="0E52711B">
      <w:pPr>
        <w:jc w:val="both"/>
        <w:rPr>
          <w:rFonts w:ascii="Times New Roman" w:hAnsi="Times New Roman" w:eastAsia="宋体"/>
          <w:sz w:val="20"/>
          <w:szCs w:val="20"/>
        </w:rPr>
      </w:pPr>
    </w:p>
    <w:p w14:paraId="0BC9C1F3">
      <w:pPr>
        <w:adjustRightInd w:val="0"/>
        <w:snapToGrid w:val="0"/>
        <w:spacing w:before="156" w:beforeLines="50" w:after="156" w:afterLines="50" w:line="300" w:lineRule="auto"/>
        <w:rPr>
          <w:rFonts w:hint="eastAsia" w:ascii="宋体" w:hAnsi="宋体" w:eastAsia="宋体"/>
          <w:sz w:val="24"/>
        </w:rPr>
      </w:pPr>
      <w:r>
        <w:rPr>
          <w:rFonts w:hint="eastAsia" w:ascii="宋体" w:hAnsi="宋体" w:eastAsia="宋体"/>
          <w:sz w:val="24"/>
        </w:rPr>
        <w:sym w:font="Wingdings" w:char="F0AB"/>
      </w:r>
      <w:r>
        <w:rPr>
          <w:rFonts w:hint="eastAsia" w:ascii="宋体" w:hAnsi="宋体" w:eastAsia="宋体"/>
          <w:sz w:val="24"/>
        </w:rPr>
        <w:t xml:space="preserve"> </w:t>
      </w:r>
      <w:r>
        <w:rPr>
          <w:rFonts w:hint="eastAsia" w:ascii="宋体" w:hAnsi="宋体" w:eastAsia="宋体"/>
          <w:b/>
          <w:bCs/>
          <w:sz w:val="24"/>
        </w:rPr>
        <w:t>注意事项</w:t>
      </w:r>
      <w:r>
        <w:rPr>
          <w:rFonts w:hint="eastAsia" w:ascii="宋体" w:hAnsi="宋体" w:eastAsia="宋体"/>
          <w:sz w:val="24"/>
        </w:rPr>
        <w:t>：</w:t>
      </w:r>
    </w:p>
    <w:p w14:paraId="5622300A">
      <w:pPr>
        <w:jc w:val="both"/>
        <w:rPr>
          <w:rFonts w:ascii="Times New Roman" w:hAnsi="Times New Roman" w:eastAsia="宋体"/>
          <w:sz w:val="20"/>
          <w:szCs w:val="20"/>
        </w:rPr>
      </w:pPr>
      <w:r>
        <w:rPr>
          <w:rFonts w:hint="eastAsia" w:ascii="Times New Roman" w:hAnsi="Times New Roman" w:eastAsia="宋体"/>
          <w:sz w:val="20"/>
          <w:szCs w:val="20"/>
        </w:rPr>
        <w:t>1、若培养瓶或冻存管出现破损、漏液，及时拍照联系销售反馈，按指导处理；仅外包装破损一般不影响使用；</w:t>
      </w:r>
    </w:p>
    <w:p w14:paraId="7899C247">
      <w:pPr>
        <w:jc w:val="both"/>
        <w:rPr>
          <w:rFonts w:ascii="Times New Roman" w:hAnsi="Times New Roman" w:eastAsia="宋体"/>
          <w:sz w:val="20"/>
          <w:szCs w:val="20"/>
        </w:rPr>
      </w:pPr>
      <w:r>
        <w:rPr>
          <w:rFonts w:hint="eastAsia" w:ascii="Times New Roman" w:hAnsi="Times New Roman" w:eastAsia="宋体"/>
          <w:sz w:val="20"/>
          <w:szCs w:val="20"/>
        </w:rPr>
        <w:t>2、细胞增殖较快，发货细胞量较多时培养基可能变黄。使用此类培养基时，需及时观察颜色变化，缩短换液周期，每瓶多加2-3 ml培养基；</w:t>
      </w:r>
    </w:p>
    <w:p w14:paraId="3DBF050B">
      <w:pPr>
        <w:jc w:val="both"/>
        <w:rPr>
          <w:rFonts w:ascii="Times New Roman" w:hAnsi="Times New Roman" w:eastAsia="宋体"/>
          <w:sz w:val="20"/>
          <w:szCs w:val="20"/>
        </w:rPr>
      </w:pPr>
      <w:r>
        <w:rPr>
          <w:rFonts w:hint="eastAsia" w:ascii="Times New Roman" w:hAnsi="Times New Roman" w:eastAsia="宋体"/>
          <w:sz w:val="20"/>
          <w:szCs w:val="20"/>
        </w:rPr>
        <w:t>3、若无法观察到细胞，建议收集培养基，1200rpm离心5分钟，观察细胞沉淀量，并用少量培养基重悬沉淀，取部分悬液至计数板或载玻片观察；</w:t>
      </w:r>
    </w:p>
    <w:p w14:paraId="64315C86">
      <w:pPr>
        <w:jc w:val="both"/>
        <w:rPr>
          <w:rFonts w:ascii="Times New Roman" w:hAnsi="Times New Roman" w:eastAsia="宋体"/>
          <w:sz w:val="20"/>
          <w:szCs w:val="20"/>
        </w:rPr>
      </w:pPr>
      <w:r>
        <w:rPr>
          <w:rFonts w:hint="eastAsia" w:ascii="Times New Roman" w:hAnsi="Times New Roman" w:eastAsia="宋体"/>
          <w:sz w:val="20"/>
          <w:szCs w:val="20"/>
        </w:rPr>
        <w:t>4、本公司提供细胞株技术服务及相应费用，提供完善技术支持和售后服务，收到产品后的处理方式及售后条款参见《细胞售后条例》。</w:t>
      </w:r>
    </w:p>
    <w:p w14:paraId="54B75F3D">
      <w:pPr>
        <w:adjustRightInd w:val="0"/>
        <w:snapToGrid w:val="0"/>
        <w:spacing w:before="156" w:beforeLines="50" w:after="156" w:afterLines="50" w:line="240" w:lineRule="auto"/>
        <w:rPr>
          <w:rFonts w:hint="eastAsia" w:ascii="黑体" w:hAnsi="黑体" w:eastAsia="黑体"/>
          <w:sz w:val="28"/>
          <w:szCs w:val="28"/>
        </w:rPr>
      </w:pPr>
      <w:r>
        <w:rPr>
          <w:rFonts w:hint="eastAsia" w:ascii="黑体" w:hAnsi="黑体" w:eastAsia="黑体"/>
          <w:sz w:val="28"/>
          <w:szCs w:val="28"/>
        </w:rPr>
        <w:t>四、细胞复苏</w:t>
      </w:r>
    </w:p>
    <w:p w14:paraId="19CD89D8">
      <w:pPr>
        <w:jc w:val="both"/>
        <w:rPr>
          <w:rFonts w:ascii="Times New Roman" w:hAnsi="Times New Roman" w:eastAsia="宋体"/>
          <w:sz w:val="20"/>
          <w:szCs w:val="20"/>
        </w:rPr>
      </w:pPr>
      <w:r>
        <w:rPr>
          <w:rFonts w:hint="eastAsia" w:ascii="Times New Roman" w:hAnsi="Times New Roman" w:eastAsia="宋体"/>
          <w:sz w:val="20"/>
          <w:szCs w:val="20"/>
        </w:rPr>
        <w:t>1、将水浴锅预热至37℃，在无菌离心管中提前加入4 ml培养基待用；</w:t>
      </w:r>
    </w:p>
    <w:p w14:paraId="7D2DDF68">
      <w:pPr>
        <w:jc w:val="both"/>
        <w:rPr>
          <w:rFonts w:ascii="Times New Roman" w:hAnsi="Times New Roman" w:eastAsia="宋体"/>
          <w:sz w:val="20"/>
          <w:szCs w:val="20"/>
        </w:rPr>
      </w:pPr>
      <w:r>
        <w:rPr>
          <w:rFonts w:hint="eastAsia" w:ascii="Times New Roman" w:hAnsi="Times New Roman" w:eastAsia="宋体"/>
          <w:sz w:val="20"/>
          <w:szCs w:val="20"/>
        </w:rPr>
        <w:t>2、从液氮罐或-80℃冰箱中取出需复苏的细胞，将细胞冻存管迅速没入水浴锅，摇晃冻存管加速溶解，溶解时间约1-2分钟；</w:t>
      </w:r>
    </w:p>
    <w:p w14:paraId="63E0A4F8">
      <w:pPr>
        <w:jc w:val="both"/>
        <w:rPr>
          <w:rFonts w:ascii="Times New Roman" w:hAnsi="Times New Roman" w:eastAsia="宋体"/>
          <w:sz w:val="20"/>
          <w:szCs w:val="20"/>
        </w:rPr>
      </w:pPr>
      <w:r>
        <w:rPr>
          <w:rFonts w:hint="eastAsia" w:ascii="Times New Roman" w:hAnsi="Times New Roman" w:eastAsia="宋体"/>
          <w:sz w:val="20"/>
          <w:szCs w:val="20"/>
        </w:rPr>
        <w:t>3、在超净台中将融化的细胞悬液加入装有4 ml培养基的离心管，1000 rpm（约300 g离心力）离心5分钟，弃上清；</w:t>
      </w:r>
    </w:p>
    <w:p w14:paraId="3C25B89A">
      <w:pPr>
        <w:jc w:val="both"/>
        <w:rPr>
          <w:rFonts w:ascii="Times New Roman" w:hAnsi="Times New Roman" w:eastAsia="宋体"/>
          <w:sz w:val="20"/>
          <w:szCs w:val="20"/>
        </w:rPr>
      </w:pPr>
      <w:r>
        <w:rPr>
          <w:rFonts w:hint="eastAsia" w:ascii="Times New Roman" w:hAnsi="Times New Roman" w:eastAsia="宋体"/>
          <w:sz w:val="20"/>
          <w:szCs w:val="20"/>
        </w:rPr>
        <w:t>4、用适量完全培养基重悬细胞，转移至T25细胞培养瓶，补充培养基至5 ml，放入培养箱培养，第二天观察细胞状态和密度。</w:t>
      </w:r>
    </w:p>
    <w:p w14:paraId="0E27C51D">
      <w:pPr>
        <w:adjustRightInd w:val="0"/>
        <w:snapToGrid w:val="0"/>
        <w:spacing w:before="156" w:beforeLines="50" w:after="156" w:afterLines="50" w:line="240" w:lineRule="auto"/>
        <w:rPr>
          <w:rFonts w:hint="eastAsia" w:ascii="黑体" w:hAnsi="黑体" w:eastAsia="黑体"/>
          <w:sz w:val="28"/>
          <w:szCs w:val="28"/>
        </w:rPr>
      </w:pPr>
      <w:r>
        <w:rPr>
          <w:rFonts w:hint="eastAsia" w:ascii="黑体" w:hAnsi="黑体" w:eastAsia="黑体"/>
          <w:sz w:val="28"/>
          <w:szCs w:val="28"/>
        </w:rPr>
        <w:t>五、细胞传代</w:t>
      </w:r>
    </w:p>
    <w:p w14:paraId="26C1A2DB">
      <w:pPr>
        <w:jc w:val="both"/>
        <w:rPr>
          <w:rFonts w:ascii="Times New Roman" w:hAnsi="Times New Roman" w:eastAsia="宋体"/>
          <w:sz w:val="20"/>
          <w:szCs w:val="20"/>
        </w:rPr>
      </w:pPr>
      <w:r>
        <w:rPr>
          <w:rFonts w:ascii="Times New Roman" w:hAnsi="Times New Roman" w:eastAsia="宋体"/>
          <w:sz w:val="20"/>
          <w:szCs w:val="20"/>
        </w:rPr>
        <w:t>当细胞密度大于80%时即可进行传代培养，步骤如下：</w:t>
      </w:r>
    </w:p>
    <w:p w14:paraId="6D9183AC">
      <w:pPr>
        <w:jc w:val="both"/>
        <w:rPr>
          <w:rFonts w:ascii="Times New Roman" w:hAnsi="Times New Roman" w:eastAsia="宋体"/>
          <w:sz w:val="20"/>
          <w:szCs w:val="20"/>
        </w:rPr>
      </w:pPr>
      <w:r>
        <w:rPr>
          <w:rFonts w:hint="eastAsia" w:ascii="Times New Roman" w:hAnsi="Times New Roman" w:eastAsia="宋体"/>
          <w:sz w:val="20"/>
          <w:szCs w:val="20"/>
        </w:rPr>
        <w:t>1、</w:t>
      </w:r>
      <w:r>
        <w:rPr>
          <w:rFonts w:ascii="Times New Roman" w:hAnsi="Times New Roman" w:eastAsia="宋体"/>
          <w:sz w:val="20"/>
          <w:szCs w:val="20"/>
        </w:rPr>
        <w:t>尽量吸净T25瓶中的原培养基；</w:t>
      </w:r>
    </w:p>
    <w:p w14:paraId="02754EB5">
      <w:pPr>
        <w:jc w:val="both"/>
        <w:rPr>
          <w:rFonts w:ascii="Times New Roman" w:hAnsi="Times New Roman" w:eastAsia="宋体"/>
          <w:sz w:val="20"/>
          <w:szCs w:val="20"/>
        </w:rPr>
      </w:pPr>
      <w:r>
        <w:rPr>
          <w:rFonts w:hint="eastAsia" w:ascii="Times New Roman" w:hAnsi="Times New Roman" w:eastAsia="宋体"/>
          <w:sz w:val="20"/>
          <w:szCs w:val="20"/>
        </w:rPr>
        <w:t>2、</w:t>
      </w:r>
      <w:r>
        <w:rPr>
          <w:rFonts w:ascii="Times New Roman" w:hAnsi="Times New Roman" w:eastAsia="宋体"/>
          <w:sz w:val="20"/>
          <w:szCs w:val="20"/>
        </w:rPr>
        <w:t>加入3-4</w:t>
      </w:r>
      <w:r>
        <w:rPr>
          <w:rFonts w:hint="eastAsia" w:ascii="Times New Roman" w:hAnsi="Times New Roman" w:eastAsia="宋体"/>
          <w:sz w:val="20"/>
          <w:szCs w:val="20"/>
        </w:rPr>
        <w:t xml:space="preserve"> </w:t>
      </w:r>
      <w:r>
        <w:rPr>
          <w:rFonts w:ascii="Times New Roman" w:hAnsi="Times New Roman" w:eastAsia="宋体"/>
          <w:sz w:val="20"/>
          <w:szCs w:val="20"/>
        </w:rPr>
        <w:t>ml常温不含钙、镁离子的PBS，轻轻润洗细胞1-2次后吸走PBS；</w:t>
      </w:r>
    </w:p>
    <w:p w14:paraId="6959148C">
      <w:pPr>
        <w:jc w:val="both"/>
        <w:rPr>
          <w:rFonts w:ascii="Times New Roman" w:hAnsi="Times New Roman" w:eastAsia="宋体"/>
          <w:sz w:val="20"/>
          <w:szCs w:val="20"/>
        </w:rPr>
      </w:pPr>
      <w:r>
        <w:rPr>
          <w:rFonts w:hint="eastAsia" w:ascii="Times New Roman" w:hAnsi="Times New Roman" w:eastAsia="宋体"/>
          <w:sz w:val="20"/>
          <w:szCs w:val="20"/>
        </w:rPr>
        <w:t>3、</w:t>
      </w:r>
      <w:r>
        <w:rPr>
          <w:rFonts w:ascii="Times New Roman" w:hAnsi="Times New Roman" w:eastAsia="宋体"/>
          <w:sz w:val="20"/>
          <w:szCs w:val="20"/>
        </w:rPr>
        <w:t>向T25瓶中加入1</w:t>
      </w:r>
      <w:r>
        <w:rPr>
          <w:rFonts w:hint="eastAsia" w:ascii="Times New Roman" w:hAnsi="Times New Roman" w:eastAsia="宋体"/>
          <w:sz w:val="20"/>
          <w:szCs w:val="20"/>
        </w:rPr>
        <w:t xml:space="preserve"> </w:t>
      </w:r>
      <w:r>
        <w:rPr>
          <w:rFonts w:ascii="Times New Roman" w:hAnsi="Times New Roman" w:eastAsia="宋体"/>
          <w:sz w:val="20"/>
          <w:szCs w:val="20"/>
        </w:rPr>
        <w:t>ml含EDTA的胰酶，轻轻晃动培养瓶，使胰酶均匀</w:t>
      </w:r>
      <w:r>
        <w:rPr>
          <w:rFonts w:hint="eastAsia" w:ascii="Times New Roman" w:hAnsi="Times New Roman" w:eastAsia="宋体"/>
          <w:sz w:val="20"/>
          <w:szCs w:val="20"/>
        </w:rPr>
        <w:t>分布于</w:t>
      </w:r>
      <w:r>
        <w:rPr>
          <w:rFonts w:ascii="Times New Roman" w:hAnsi="Times New Roman" w:eastAsia="宋体"/>
          <w:sz w:val="20"/>
          <w:szCs w:val="20"/>
        </w:rPr>
        <w:t>瓶底细胞层；</w:t>
      </w:r>
    </w:p>
    <w:p w14:paraId="197631CE">
      <w:pPr>
        <w:jc w:val="both"/>
        <w:rPr>
          <w:rFonts w:ascii="Times New Roman" w:hAnsi="Times New Roman" w:eastAsia="宋体"/>
          <w:sz w:val="20"/>
          <w:szCs w:val="20"/>
        </w:rPr>
      </w:pPr>
      <w:r>
        <w:rPr>
          <w:rFonts w:hint="eastAsia" w:ascii="Times New Roman" w:hAnsi="Times New Roman" w:eastAsia="宋体"/>
          <w:sz w:val="20"/>
          <w:szCs w:val="20"/>
        </w:rPr>
        <w:t>4、</w:t>
      </w:r>
      <w:r>
        <w:rPr>
          <w:rFonts w:ascii="Times New Roman" w:hAnsi="Times New Roman" w:eastAsia="宋体"/>
          <w:sz w:val="20"/>
          <w:szCs w:val="20"/>
        </w:rPr>
        <w:t>将培养瓶放入37℃培养箱消化；</w:t>
      </w:r>
    </w:p>
    <w:p w14:paraId="66616860">
      <w:pPr>
        <w:jc w:val="both"/>
        <w:rPr>
          <w:rFonts w:ascii="Times New Roman" w:hAnsi="Times New Roman" w:eastAsia="宋体"/>
          <w:sz w:val="20"/>
          <w:szCs w:val="20"/>
        </w:rPr>
      </w:pPr>
      <w:r>
        <w:rPr>
          <w:rFonts w:hint="eastAsia" w:ascii="Times New Roman" w:hAnsi="Times New Roman" w:eastAsia="宋体"/>
          <w:sz w:val="20"/>
          <w:szCs w:val="20"/>
        </w:rPr>
        <w:t>5、</w:t>
      </w:r>
      <w:r>
        <w:rPr>
          <w:rFonts w:ascii="Times New Roman" w:hAnsi="Times New Roman" w:eastAsia="宋体"/>
          <w:sz w:val="20"/>
          <w:szCs w:val="20"/>
        </w:rPr>
        <w:t>待细胞</w:t>
      </w:r>
      <w:r>
        <w:rPr>
          <w:rFonts w:hint="eastAsia" w:ascii="Times New Roman" w:hAnsi="Times New Roman" w:eastAsia="宋体"/>
          <w:sz w:val="20"/>
          <w:szCs w:val="20"/>
        </w:rPr>
        <w:t>变圆并开始脱落时</w:t>
      </w:r>
      <w:r>
        <w:rPr>
          <w:rFonts w:ascii="Times New Roman" w:hAnsi="Times New Roman" w:eastAsia="宋体"/>
          <w:sz w:val="20"/>
          <w:szCs w:val="20"/>
        </w:rPr>
        <w:t>，加入</w:t>
      </w:r>
      <w:r>
        <w:rPr>
          <w:rFonts w:hint="eastAsia" w:ascii="Times New Roman" w:hAnsi="Times New Roman" w:eastAsia="宋体"/>
          <w:sz w:val="20"/>
          <w:szCs w:val="20"/>
        </w:rPr>
        <w:t xml:space="preserve">1 </w:t>
      </w:r>
      <w:r>
        <w:rPr>
          <w:rFonts w:ascii="Times New Roman" w:hAnsi="Times New Roman" w:eastAsia="宋体"/>
          <w:sz w:val="20"/>
          <w:szCs w:val="20"/>
        </w:rPr>
        <w:t>ml完全培养基终止消化；</w:t>
      </w:r>
    </w:p>
    <w:p w14:paraId="41EE2216">
      <w:pPr>
        <w:jc w:val="both"/>
        <w:rPr>
          <w:rFonts w:ascii="Times New Roman" w:hAnsi="Times New Roman" w:eastAsia="宋体"/>
          <w:sz w:val="20"/>
          <w:szCs w:val="20"/>
        </w:rPr>
      </w:pPr>
      <w:r>
        <w:rPr>
          <w:rFonts w:hint="eastAsia" w:ascii="Times New Roman" w:hAnsi="Times New Roman" w:eastAsia="宋体"/>
          <w:sz w:val="20"/>
          <w:szCs w:val="20"/>
        </w:rPr>
        <w:t>6、</w:t>
      </w:r>
      <w:r>
        <w:rPr>
          <w:rFonts w:ascii="Times New Roman" w:hAnsi="Times New Roman" w:eastAsia="宋体"/>
          <w:sz w:val="20"/>
          <w:szCs w:val="20"/>
        </w:rPr>
        <w:t>轻轻吹打</w:t>
      </w:r>
      <w:r>
        <w:rPr>
          <w:rFonts w:hint="eastAsia" w:ascii="Times New Roman" w:hAnsi="Times New Roman" w:eastAsia="宋体"/>
          <w:sz w:val="20"/>
          <w:szCs w:val="20"/>
        </w:rPr>
        <w:t>使</w:t>
      </w:r>
      <w:r>
        <w:rPr>
          <w:rFonts w:ascii="Times New Roman" w:hAnsi="Times New Roman" w:eastAsia="宋体"/>
          <w:sz w:val="20"/>
          <w:szCs w:val="20"/>
        </w:rPr>
        <w:t>细胞</w:t>
      </w:r>
      <w:r>
        <w:rPr>
          <w:rFonts w:hint="eastAsia" w:ascii="Times New Roman" w:hAnsi="Times New Roman" w:eastAsia="宋体"/>
          <w:sz w:val="20"/>
          <w:szCs w:val="20"/>
        </w:rPr>
        <w:t>脱落</w:t>
      </w:r>
      <w:r>
        <w:rPr>
          <w:rFonts w:ascii="Times New Roman" w:hAnsi="Times New Roman" w:eastAsia="宋体"/>
          <w:sz w:val="20"/>
          <w:szCs w:val="20"/>
        </w:rPr>
        <w:t>，</w:t>
      </w:r>
      <w:r>
        <w:rPr>
          <w:rFonts w:hint="eastAsia" w:ascii="Times New Roman" w:hAnsi="Times New Roman" w:eastAsia="宋体"/>
          <w:sz w:val="20"/>
          <w:szCs w:val="20"/>
        </w:rPr>
        <w:t>转移至无菌的5 ml离心管，</w:t>
      </w:r>
      <w:r>
        <w:rPr>
          <w:rFonts w:ascii="Times New Roman" w:hAnsi="Times New Roman" w:eastAsia="宋体"/>
          <w:sz w:val="20"/>
          <w:szCs w:val="20"/>
        </w:rPr>
        <w:t>1000rpm离心5分钟，弃上清；</w:t>
      </w:r>
    </w:p>
    <w:p w14:paraId="468C80B3">
      <w:pPr>
        <w:jc w:val="both"/>
        <w:rPr>
          <w:rFonts w:ascii="Times New Roman" w:hAnsi="Times New Roman" w:eastAsia="宋体"/>
          <w:sz w:val="20"/>
          <w:szCs w:val="20"/>
        </w:rPr>
      </w:pPr>
      <w:r>
        <w:rPr>
          <w:rFonts w:hint="eastAsia" w:ascii="Times New Roman" w:hAnsi="Times New Roman" w:eastAsia="宋体"/>
          <w:sz w:val="20"/>
          <w:szCs w:val="20"/>
        </w:rPr>
        <w:t>7、</w:t>
      </w:r>
      <w:r>
        <w:rPr>
          <w:rFonts w:ascii="Times New Roman" w:hAnsi="Times New Roman" w:eastAsia="宋体"/>
          <w:sz w:val="20"/>
          <w:szCs w:val="20"/>
        </w:rPr>
        <w:t>加入新的完全培养基轻轻重悬细胞，</w:t>
      </w:r>
      <w:r>
        <w:rPr>
          <w:rFonts w:hint="eastAsia" w:ascii="Times New Roman" w:hAnsi="Times New Roman" w:eastAsia="宋体"/>
          <w:sz w:val="20"/>
          <w:szCs w:val="20"/>
        </w:rPr>
        <w:t>将细胞转移到</w:t>
      </w:r>
      <w:r>
        <w:rPr>
          <w:rFonts w:ascii="Times New Roman" w:hAnsi="Times New Roman" w:eastAsia="宋体"/>
          <w:sz w:val="20"/>
          <w:szCs w:val="20"/>
        </w:rPr>
        <w:t>新的培养瓶中</w:t>
      </w:r>
      <w:r>
        <w:rPr>
          <w:rFonts w:hint="eastAsia" w:ascii="Times New Roman" w:hAnsi="Times New Roman" w:eastAsia="宋体"/>
          <w:sz w:val="20"/>
          <w:szCs w:val="20"/>
        </w:rPr>
        <w:t>并摇匀，加入5 ml完全培养基培养</w:t>
      </w:r>
      <w:r>
        <w:rPr>
          <w:rFonts w:ascii="Times New Roman" w:hAnsi="Times New Roman" w:eastAsia="宋体"/>
          <w:sz w:val="20"/>
          <w:szCs w:val="20"/>
        </w:rPr>
        <w:t>；</w:t>
      </w:r>
    </w:p>
    <w:p w14:paraId="17321AA9">
      <w:pPr>
        <w:jc w:val="both"/>
        <w:rPr>
          <w:rFonts w:ascii="Times New Roman" w:hAnsi="Times New Roman" w:eastAsia="宋体"/>
          <w:sz w:val="20"/>
          <w:szCs w:val="20"/>
        </w:rPr>
      </w:pPr>
      <w:r>
        <w:rPr>
          <w:rFonts w:ascii="Times New Roman" w:hAnsi="Times New Roman" w:eastAsia="宋体"/>
          <w:b/>
          <w:bCs/>
          <w:sz w:val="20"/>
          <w:szCs w:val="20"/>
        </w:rPr>
        <w:t>消化时间</w:t>
      </w:r>
      <w:r>
        <w:rPr>
          <w:rFonts w:ascii="Times New Roman" w:hAnsi="Times New Roman" w:eastAsia="宋体"/>
          <w:sz w:val="20"/>
          <w:szCs w:val="20"/>
        </w:rPr>
        <w:t>：不同品牌胰酶消化时间不同，需注意控制</w:t>
      </w:r>
    </w:p>
    <w:p w14:paraId="783591BE">
      <w:pPr>
        <w:jc w:val="both"/>
        <w:rPr>
          <w:rFonts w:ascii="Times New Roman" w:hAnsi="Times New Roman" w:eastAsia="宋体"/>
          <w:sz w:val="20"/>
          <w:szCs w:val="20"/>
        </w:rPr>
      </w:pPr>
      <w:r>
        <w:rPr>
          <w:rFonts w:ascii="Times New Roman" w:hAnsi="Times New Roman" w:eastAsia="宋体"/>
          <w:b/>
          <w:bCs/>
          <w:sz w:val="20"/>
          <w:szCs w:val="20"/>
        </w:rPr>
        <w:t>传代比例</w:t>
      </w:r>
      <w:r>
        <w:rPr>
          <w:rFonts w:ascii="Times New Roman" w:hAnsi="Times New Roman" w:eastAsia="宋体"/>
          <w:sz w:val="20"/>
          <w:szCs w:val="20"/>
        </w:rPr>
        <w:t>：1:2-1:4（具体根据细胞生长速度及密度调整）</w:t>
      </w:r>
    </w:p>
    <w:p w14:paraId="3A2529C0">
      <w:pPr>
        <w:jc w:val="both"/>
        <w:rPr>
          <w:rFonts w:ascii="Times New Roman" w:hAnsi="Times New Roman" w:eastAsia="宋体"/>
          <w:sz w:val="20"/>
          <w:szCs w:val="20"/>
        </w:rPr>
      </w:pPr>
      <w:r>
        <w:rPr>
          <w:rFonts w:ascii="Times New Roman" w:hAnsi="Times New Roman" w:eastAsia="宋体"/>
          <w:b/>
          <w:bCs/>
          <w:sz w:val="20"/>
          <w:szCs w:val="20"/>
        </w:rPr>
        <w:t>换液频次</w:t>
      </w:r>
      <w:r>
        <w:rPr>
          <w:rFonts w:ascii="Times New Roman" w:hAnsi="Times New Roman" w:eastAsia="宋体"/>
          <w:sz w:val="20"/>
          <w:szCs w:val="20"/>
        </w:rPr>
        <w:t>：</w:t>
      </w:r>
      <w:r>
        <w:rPr>
          <w:rFonts w:hint="eastAsia" w:ascii="Times New Roman" w:hAnsi="Times New Roman" w:eastAsia="宋体"/>
          <w:sz w:val="20"/>
          <w:szCs w:val="20"/>
        </w:rPr>
        <w:t>2-3</w:t>
      </w:r>
      <w:r>
        <w:rPr>
          <w:rFonts w:ascii="Times New Roman" w:hAnsi="Times New Roman" w:eastAsia="宋体"/>
          <w:sz w:val="20"/>
          <w:szCs w:val="20"/>
        </w:rPr>
        <w:t>天</w:t>
      </w:r>
    </w:p>
    <w:p w14:paraId="3EBF6AD0">
      <w:pPr>
        <w:adjustRightInd w:val="0"/>
        <w:snapToGrid w:val="0"/>
        <w:spacing w:line="300" w:lineRule="auto"/>
        <w:jc w:val="both"/>
        <w:rPr>
          <w:rFonts w:ascii="Times New Roman" w:hAnsi="Times New Roman" w:eastAsia="宋体"/>
        </w:rPr>
      </w:pPr>
    </w:p>
    <w:p w14:paraId="0746E80B">
      <w:pPr>
        <w:adjustRightInd w:val="0"/>
        <w:snapToGrid w:val="0"/>
        <w:spacing w:before="156" w:beforeLines="50" w:after="156" w:afterLines="50" w:line="240" w:lineRule="auto"/>
        <w:rPr>
          <w:rFonts w:hint="eastAsia" w:ascii="黑体" w:hAnsi="黑体" w:eastAsia="黑体"/>
          <w:sz w:val="28"/>
          <w:szCs w:val="28"/>
        </w:rPr>
      </w:pPr>
      <w:bookmarkStart w:id="2" w:name="OLE_LINK2"/>
      <w:r>
        <w:rPr>
          <w:rFonts w:hint="eastAsia" w:ascii="黑体" w:hAnsi="黑体" w:eastAsia="黑体"/>
          <w:sz w:val="28"/>
          <w:szCs w:val="28"/>
        </w:rPr>
        <w:t>六、</w:t>
      </w:r>
      <w:r>
        <w:rPr>
          <w:rFonts w:ascii="黑体" w:hAnsi="黑体" w:eastAsia="黑体"/>
          <w:sz w:val="28"/>
          <w:szCs w:val="28"/>
        </w:rPr>
        <w:t>细胞售后条例</w:t>
      </w:r>
    </w:p>
    <w:bookmarkEnd w:id="2"/>
    <w:p w14:paraId="4640B0FB">
      <w:pPr>
        <w:rPr>
          <w:rFonts w:ascii="Times New Roman" w:hAnsi="Times New Roman" w:eastAsia="宋体"/>
          <w:sz w:val="20"/>
          <w:szCs w:val="20"/>
        </w:rPr>
      </w:pPr>
      <w:r>
        <w:rPr>
          <w:rFonts w:hint="eastAsia" w:ascii="Times New Roman" w:hAnsi="Times New Roman" w:eastAsia="宋体"/>
          <w:sz w:val="20"/>
          <w:szCs w:val="20"/>
        </w:rPr>
        <w:t>1、购买的冻存细胞发2管，先复苏第一管，再视情况复苏第二管；</w:t>
      </w:r>
    </w:p>
    <w:p w14:paraId="3AD275DC">
      <w:pPr>
        <w:rPr>
          <w:rFonts w:ascii="Times New Roman" w:hAnsi="Times New Roman" w:eastAsia="宋体"/>
          <w:sz w:val="20"/>
          <w:szCs w:val="20"/>
        </w:rPr>
      </w:pPr>
      <w:r>
        <w:rPr>
          <w:rFonts w:hint="eastAsia" w:ascii="Times New Roman" w:hAnsi="Times New Roman" w:eastAsia="宋体"/>
          <w:sz w:val="20"/>
          <w:szCs w:val="20"/>
        </w:rPr>
        <w:t>2、复苏第一管出现问题，联系我方分析原因并指导复苏第二管；在技术支持下仍无法存活的，可重发常温细胞；重发冻存细胞需加收干冰费用（需及时拍照反馈）；</w:t>
      </w:r>
    </w:p>
    <w:p w14:paraId="3700493F">
      <w:pPr>
        <w:rPr>
          <w:rFonts w:ascii="Times New Roman" w:hAnsi="Times New Roman" w:eastAsia="宋体"/>
          <w:sz w:val="20"/>
          <w:szCs w:val="20"/>
        </w:rPr>
      </w:pPr>
      <w:r>
        <w:rPr>
          <w:rFonts w:hint="eastAsia" w:ascii="Times New Roman" w:hAnsi="Times New Roman" w:eastAsia="宋体"/>
          <w:sz w:val="20"/>
          <w:szCs w:val="20"/>
        </w:rPr>
        <w:t>3、冻存细胞发货2支为同一批次，一管复苏成功另一管失败的，不予重发；</w:t>
      </w:r>
    </w:p>
    <w:p w14:paraId="2106C4F0">
      <w:pPr>
        <w:rPr>
          <w:rFonts w:ascii="Times New Roman" w:hAnsi="Times New Roman" w:eastAsia="宋体"/>
          <w:sz w:val="20"/>
          <w:szCs w:val="20"/>
        </w:rPr>
      </w:pPr>
      <w:r>
        <w:rPr>
          <w:rFonts w:hint="eastAsia" w:ascii="Times New Roman" w:hAnsi="Times New Roman" w:eastAsia="宋体"/>
          <w:sz w:val="20"/>
          <w:szCs w:val="20"/>
        </w:rPr>
        <w:t>4、收到冻存细胞复苏后状态良好，但因用户自身操作导致细胞污染、状态不佳、冻存后复苏失败的，不予免费重发；</w:t>
      </w:r>
    </w:p>
    <w:p w14:paraId="1BBDF6DE">
      <w:pPr>
        <w:rPr>
          <w:rFonts w:ascii="Times New Roman" w:hAnsi="Times New Roman" w:eastAsia="宋体"/>
          <w:sz w:val="20"/>
          <w:szCs w:val="20"/>
        </w:rPr>
      </w:pPr>
      <w:r>
        <w:rPr>
          <w:rFonts w:hint="eastAsia" w:ascii="Times New Roman" w:hAnsi="Times New Roman" w:eastAsia="宋体"/>
          <w:sz w:val="20"/>
          <w:szCs w:val="20"/>
        </w:rPr>
        <w:t>5、细胞运输途中出现冻存管破损、融化等问题，予以重发（需及时拍照反馈）；</w:t>
      </w:r>
    </w:p>
    <w:p w14:paraId="61B467A8">
      <w:pPr>
        <w:rPr>
          <w:rFonts w:ascii="Times New Roman" w:hAnsi="Times New Roman" w:eastAsia="宋体"/>
          <w:sz w:val="20"/>
          <w:szCs w:val="20"/>
        </w:rPr>
      </w:pPr>
      <w:r>
        <w:rPr>
          <w:rFonts w:hint="eastAsia" w:ascii="Times New Roman" w:hAnsi="Times New Roman" w:eastAsia="宋体"/>
          <w:sz w:val="20"/>
          <w:szCs w:val="20"/>
        </w:rPr>
        <w:t>6、因外源试剂导致细胞培养出现问题或污染的，不予重发；</w:t>
      </w:r>
    </w:p>
    <w:p w14:paraId="60F97D08">
      <w:pPr>
        <w:rPr>
          <w:rFonts w:ascii="Times New Roman" w:hAnsi="Times New Roman" w:eastAsia="宋体"/>
          <w:sz w:val="20"/>
          <w:szCs w:val="20"/>
        </w:rPr>
      </w:pPr>
      <w:r>
        <w:rPr>
          <w:rFonts w:hint="eastAsia" w:ascii="Times New Roman" w:hAnsi="Times New Roman" w:eastAsia="宋体"/>
          <w:sz w:val="20"/>
          <w:szCs w:val="20"/>
        </w:rPr>
        <w:t>7、细胞复苏和培养过程中出现问题，反馈不及时（默认收到细胞后一周内无反馈）且无法提供复苏后状态图片的，不予免费重发；</w:t>
      </w:r>
    </w:p>
    <w:p w14:paraId="5E3E966A">
      <w:pPr>
        <w:rPr>
          <w:rFonts w:ascii="Times New Roman" w:hAnsi="Times New Roman" w:eastAsia="宋体"/>
          <w:sz w:val="20"/>
          <w:szCs w:val="20"/>
        </w:rPr>
      </w:pPr>
      <w:r>
        <w:rPr>
          <w:rFonts w:hint="eastAsia" w:ascii="Times New Roman" w:hAnsi="Times New Roman" w:eastAsia="宋体"/>
          <w:sz w:val="20"/>
          <w:szCs w:val="20"/>
        </w:rPr>
        <w:t>8、非细胞出厂质量问题，因客户自身操作导致细胞死亡的，自收货日起一个月内可申请低价二次购买折扣（原代细胞除外）；</w:t>
      </w:r>
    </w:p>
    <w:p w14:paraId="221D39AD">
      <w:pPr>
        <w:rPr>
          <w:rFonts w:ascii="Times New Roman" w:hAnsi="Times New Roman" w:eastAsia="宋体"/>
          <w:sz w:val="20"/>
          <w:szCs w:val="20"/>
        </w:rPr>
      </w:pPr>
      <w:r>
        <w:rPr>
          <w:rFonts w:hint="eastAsia" w:ascii="Times New Roman" w:hAnsi="Times New Roman" w:eastAsia="宋体"/>
          <w:sz w:val="20"/>
          <w:szCs w:val="20"/>
        </w:rPr>
        <w:t>9、细胞相关实验受培养基及血清品牌、操作习惯、培养瓶品牌等多种因素影响，因非细胞鉴定问题导致实验数据不理想的，不予退换细胞；</w:t>
      </w:r>
    </w:p>
    <w:p w14:paraId="563A5B2B">
      <w:pPr>
        <w:rPr>
          <w:rFonts w:ascii="Times New Roman" w:hAnsi="Times New Roman" w:eastAsia="宋体"/>
          <w:sz w:val="20"/>
          <w:szCs w:val="20"/>
        </w:rPr>
      </w:pPr>
      <w:r>
        <w:rPr>
          <w:rFonts w:hint="eastAsia" w:ascii="Times New Roman" w:hAnsi="Times New Roman" w:eastAsia="宋体"/>
          <w:sz w:val="20"/>
          <w:szCs w:val="20"/>
        </w:rPr>
        <w:t>10、细胞系与对应专用培养基一起购买的，自收货日起一个月内可享受无条件售后（原代细胞不参与）；</w:t>
      </w:r>
    </w:p>
    <w:p w14:paraId="17C858BD">
      <w:pPr>
        <w:rPr>
          <w:rFonts w:hint="eastAsia"/>
          <w:sz w:val="20"/>
          <w:szCs w:val="20"/>
        </w:rPr>
      </w:pPr>
      <w:r>
        <w:rPr>
          <w:rFonts w:hint="eastAsia" w:ascii="Times New Roman" w:hAnsi="Times New Roman" w:eastAsia="宋体"/>
          <w:sz w:val="20"/>
          <w:szCs w:val="20"/>
        </w:rPr>
        <w:t>11、请保留细胞/培养基标签上的二维码，需售后或技术支持时可扫描相关二维码与我司联系。</w:t>
      </w:r>
    </w:p>
    <w:p w14:paraId="16687591">
      <w:pPr>
        <w:rPr>
          <w:rFonts w:hint="eastAsia"/>
        </w:rPr>
      </w:pPr>
    </w:p>
    <w:p w14:paraId="5828D42B">
      <w:pPr>
        <w:adjustRightInd w:val="0"/>
        <w:snapToGrid w:val="0"/>
        <w:spacing w:before="156" w:beforeLines="50" w:after="156" w:afterLines="50" w:line="240" w:lineRule="auto"/>
        <w:rPr>
          <w:rFonts w:hint="eastAsia" w:ascii="黑体" w:hAnsi="黑体" w:eastAsia="黑体"/>
          <w:sz w:val="28"/>
          <w:szCs w:val="28"/>
        </w:rPr>
      </w:pPr>
      <w:r>
        <w:rPr>
          <w:rFonts w:hint="eastAsia" w:ascii="黑体" w:hAnsi="黑体" w:eastAsia="黑体"/>
          <w:sz w:val="28"/>
          <w:szCs w:val="28"/>
        </w:rPr>
        <w:t>七、参考文献</w:t>
      </w:r>
    </w:p>
    <w:p w14:paraId="4739A3E7">
      <w:pPr>
        <w:rPr>
          <w:rFonts w:hint="eastAsia"/>
        </w:rPr>
      </w:pPr>
      <w:r>
        <w:rPr>
          <w:rFonts w:hint="eastAsia"/>
        </w:rPr>
        <w:t>1. Phan TKT, Do TL, Tachibana K, Kihara T. Alpha-mangostin dephosphorylates ERM to induce adhesion and decrease surface stiffness in KG-1 cells. Hum Cell. 2022 Jan;35(1):189-198. doi: 10.1007/s13577-021-00651-8. Epub 2021 Nov 24. PMID: 34817798.</w:t>
      </w:r>
    </w:p>
    <w:p w14:paraId="255247C8">
      <w:pPr>
        <w:rPr>
          <w:rFonts w:hint="eastAsia"/>
          <w:lang w:val="en-US" w:eastAsia="zh-CN"/>
        </w:rPr>
      </w:pPr>
      <w:r>
        <w:rPr>
          <w:rFonts w:hint="eastAsia"/>
          <w:lang w:val="en-US" w:eastAsia="zh-CN"/>
        </w:rPr>
        <w:t>2.Mosadegh Manshadi S, Shams Ardekani MR. Antitumor Activity of Ziziphus Jujube Fruit Extracts in KG-1 and NALM-6 Acute Leukemia Cell Lines. Int J Hematol Oncol Stem Cell Res. 2023 Oct 1;17(4):257-266. doi: 10.18502/ijhoscr.v17i4.13917. PMID: 38076779; PMCID: PMC10700102.</w:t>
      </w:r>
    </w:p>
    <w:p w14:paraId="66313737">
      <w:pPr>
        <w:rPr>
          <w:rFonts w:hint="eastAsia"/>
        </w:rPr>
      </w:pPr>
      <w:r>
        <w:rPr>
          <w:rFonts w:hint="eastAsia"/>
          <w:lang w:val="en-US" w:eastAsia="zh-CN"/>
        </w:rPr>
        <w:t>3.</w:t>
      </w:r>
      <w:r>
        <w:rPr>
          <w:rFonts w:hint="eastAsia"/>
        </w:rPr>
        <w:t>Kihara T, Matsumoto T, Nakahashi Y, Tachibana K. Mechanical stiffness softening and cell adhesion are coordinately regulated by ERM dephosphorylation in KG-1 cells. Hum Cell. 2021 Nov;34(6):1709-1716. doi: 10.1007/s13577-021-00584-2. Epub 2021 Jul 26. PMID: 34312810.</w:t>
      </w:r>
    </w:p>
    <w:p w14:paraId="5C173338">
      <w:pPr>
        <w:rPr>
          <w:rFonts w:hint="eastAsia"/>
        </w:rPr>
      </w:pPr>
      <w:r>
        <w:rPr>
          <w:rFonts w:hint="eastAsia"/>
          <w:lang w:val="en-US" w:eastAsia="zh-CN"/>
        </w:rPr>
        <w:t>4.</w:t>
      </w:r>
      <w:r>
        <w:rPr>
          <w:rFonts w:hint="eastAsia"/>
        </w:rPr>
        <w:t>Liu J, Huang Y, Liu Z. [Curcumin Combined with Thalidomide Inhibits Proliferation of KG-1 Cells and Its Related Mechanisms]. Zhongguo Shi Yan Xue Ye Xue Za Zhi. 2024 Apr;32(2):422-427. Chinese. doi: 10.19746/j.cnki.issn.1009-2137.2024.02.015. PMID: 38660846.</w:t>
      </w:r>
    </w:p>
    <w:p w14:paraId="18B6BBB0">
      <w:pPr>
        <w:rPr>
          <w:rFonts w:hint="eastAsia"/>
        </w:rPr>
      </w:pPr>
      <w:r>
        <w:rPr>
          <w:rFonts w:hint="eastAsia"/>
          <w:lang w:val="en-US" w:eastAsia="zh-CN"/>
        </w:rPr>
        <w:t>5.</w:t>
      </w:r>
      <w:r>
        <w:rPr>
          <w:rFonts w:hint="eastAsia"/>
        </w:rPr>
        <w:t>He P, Lei J, Zou LX, Zhou GZ, Peng L, Deng Q, Liu XL. Effects of hypoxia on DNA hydroxymethylase Tet methylcytosine dioxygenase 2 in a KG-1 human acute myeloid leukemia cell line and its mechanism. Oncol Lett. 2021 Oct;22(4):692. doi: 10.3892/ol.2021.12953. Epub 2021 Aug 1. PMID: 34457047; PMCID: PMC8358611.</w:t>
      </w:r>
    </w:p>
    <w:p w14:paraId="36FB76E8">
      <w:pPr>
        <w:rPr>
          <w:rFonts w:hint="eastAsia"/>
        </w:rPr>
      </w:pPr>
      <w:r>
        <w:rPr>
          <w:rFonts w:hint="eastAsia"/>
          <w:lang w:val="en-US" w:eastAsia="zh-CN"/>
        </w:rPr>
        <w:t>6.</w:t>
      </w:r>
      <w:r>
        <w:rPr>
          <w:rFonts w:hint="eastAsia"/>
        </w:rPr>
        <w:t>Liu X, Pan X. ALKBH3-mediated m1A demethylation promotes the malignant progression of acute myeloid leukemia by regulating ferroptosis through the upregulation of ATF4 expression. Hematology. 2025 Dec;30(1):2451446. doi: 10.1080/16078454.2025.2451446. Epub 2025 Jan 13. PMID: 39803678.</w:t>
      </w:r>
    </w:p>
    <w:p w14:paraId="4C6AFB36">
      <w:pPr>
        <w:rPr>
          <w:rFonts w:hint="eastAsia"/>
        </w:rPr>
      </w:pPr>
      <w:r>
        <w:rPr>
          <w:rFonts w:hint="eastAsia"/>
          <w:lang w:val="en-US" w:eastAsia="zh-CN"/>
        </w:rPr>
        <w:t>7.</w:t>
      </w:r>
      <w:r>
        <w:rPr>
          <w:rFonts w:hint="eastAsia"/>
        </w:rPr>
        <w:t>Li YY, Wang XJ, Su YL, Wang Q, Huang SW, Pan ZF, Chen YP, Liang JJ, Zhang ML, Xie XQ, Wu ZY, Chen JY, Zhou L, Luo X. Baicalein ameliorates ulcerative colitis by improving intestinal epithelial barrier via AhR/IL-22 pathway in ILC3s. Acta Pharmacol Sin. 2022 Jun;43(6):1495-1507. doi: 10.1038/s41401-021-00781-7. Epub 2021 Oct 20. PMID: 34671110; PMCID: PMC9160000.</w:t>
      </w:r>
    </w:p>
    <w:p w14:paraId="348B70B6">
      <w:pPr>
        <w:rPr>
          <w:rFonts w:hint="eastAsia"/>
        </w:rPr>
      </w:pPr>
      <w:r>
        <w:rPr>
          <w:rFonts w:hint="eastAsia"/>
          <w:lang w:val="en-US" w:eastAsia="zh-CN"/>
        </w:rPr>
        <w:t>8.</w:t>
      </w:r>
      <w:r>
        <w:rPr>
          <w:rFonts w:hint="eastAsia"/>
        </w:rPr>
        <w:t>He Y, Li S, Jiang L, Wu K, Chen S, Su L, Liu C, Liu P, Luo W, Zhong S, Li Z. Palmitic Acid Accelerates Endothelial Cell Injury and Cardiovascular Dysfunction via Palmitoylation of PKM2. Adv Sci (Weinh). 2025 Feb;12(5):e2412895. doi: 10.1002/advs.202412895. Epub 2024 Dec 12. PMID: 39665133; PMCID: PMC11791964.</w:t>
      </w:r>
    </w:p>
    <w:p w14:paraId="58591391">
      <w:pPr>
        <w:rPr>
          <w:rFonts w:hint="eastAsia"/>
        </w:rPr>
      </w:pPr>
      <w:r>
        <w:rPr>
          <w:rFonts w:hint="eastAsia"/>
          <w:lang w:val="en-US" w:eastAsia="zh-CN"/>
        </w:rPr>
        <w:t>9.</w:t>
      </w:r>
      <w:r>
        <w:rPr>
          <w:rFonts w:hint="eastAsia"/>
        </w:rPr>
        <w:t>Ni XY, Feng XJ, Wang ZH, Zhang Y, Little PJ, Cao Y, Xu SW, Tang LQ, Weng JP. Empagliflozin and liraglutide ameliorate HFpEF in mice via augmenting the Erbb4 signaling pathway. Acta Pharmacol Sin. 2024 Aug;45(8):1604-1617. doi: 10.1038/s41401-024-01265-0. Epub 2024 Apr 8. Erratum in: Acta Pharmacol Sin. 2025 Sep;46(9):2586. doi: 10.1038/s41401-025-01559-x. PMID: 38589689; PMCID: PMC11272793.</w:t>
      </w:r>
    </w:p>
    <w:p w14:paraId="6B7B38A5">
      <w:pPr>
        <w:rPr>
          <w:rFonts w:hint="default"/>
          <w:lang w:val="en-US" w:eastAsia="zh-CN"/>
        </w:rPr>
      </w:pPr>
      <w:r>
        <w:rPr>
          <w:rFonts w:hint="eastAsia"/>
          <w:lang w:val="en-US" w:eastAsia="zh-CN"/>
        </w:rPr>
        <w:t>10.</w:t>
      </w:r>
      <w:r>
        <w:rPr>
          <w:rFonts w:hint="eastAsia"/>
        </w:rPr>
        <w:t>Wang WZ, Liu C, Luo JQ, Lei LJ, Chen MH, Zhang YY, Sheng R, Li YN, Wang L, Jiang XH, Xiao TM, Zhang YH, Li SW, Wu YX, Xu Y, Xu YN, Si SY. A novel small-molecule PCSK9 inhibitor E28362 ameliorates hyperlipidemia and atherosclerosis. Acta Pharmacol Sin. 2024 Oct;45(10):2119-2133. doi: 10.1038/s41401-024-01305-9. Epub 2024 May 29. PMID: 38811775; PMCID: PMC11420243.</w:t>
      </w:r>
    </w:p>
    <w:p w14:paraId="50A32E09">
      <w:pPr>
        <w:rPr>
          <w:rFonts w:hint="eastAsia"/>
        </w:rPr>
      </w:pPr>
      <w:r>
        <w:rPr>
          <w:rFonts w:hint="eastAsia"/>
        </w:rPr>
        <w:drawing>
          <wp:inline distT="0" distB="0" distL="0" distR="0">
            <wp:extent cx="1358265" cy="1349375"/>
            <wp:effectExtent l="0" t="0" r="0" b="3175"/>
            <wp:docPr id="19980810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81070"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64988" cy="1356160"/>
                    </a:xfrm>
                    <a:prstGeom prst="rect">
                      <a:avLst/>
                    </a:prstGeom>
                    <a:noFill/>
                  </pic:spPr>
                </pic:pic>
              </a:graphicData>
            </a:graphic>
          </wp:inline>
        </w:drawing>
      </w:r>
    </w:p>
    <w:p w14:paraId="51D72D2E">
      <w:pPr>
        <w:rPr>
          <w:rFonts w:hint="eastAsia"/>
          <w:sz w:val="18"/>
          <w:szCs w:val="18"/>
        </w:rPr>
      </w:pPr>
      <w:r>
        <w:rPr>
          <w:rFonts w:hint="eastAsia"/>
          <w:sz w:val="18"/>
          <w:szCs w:val="18"/>
        </w:rPr>
        <w:t>公众号获取更多资讯</w:t>
      </w:r>
    </w:p>
    <w:p w14:paraId="46ED1A9F">
      <w:pPr>
        <w:rPr>
          <w:rFonts w:hint="eastAsia"/>
          <w:sz w:val="18"/>
          <w:szCs w:val="18"/>
        </w:rPr>
      </w:pPr>
      <w:r>
        <w:rPr>
          <w:rFonts w:hint="eastAsia"/>
          <w:sz w:val="18"/>
          <w:szCs w:val="18"/>
        </w:rPr>
        <w:t>公司电话：</w:t>
      </w:r>
      <w:r>
        <w:rPr>
          <w:sz w:val="18"/>
          <w:szCs w:val="18"/>
        </w:rPr>
        <w:t>13267055948</w:t>
      </w:r>
      <w:r>
        <w:rPr>
          <w:sz w:val="18"/>
          <w:szCs w:val="18"/>
        </w:rPr>
        <w:br w:type="textWrapping"/>
      </w:r>
      <w:r>
        <w:rPr>
          <w:rFonts w:hint="eastAsia"/>
          <w:sz w:val="18"/>
          <w:szCs w:val="18"/>
        </w:rPr>
        <w:t>联系</w:t>
      </w:r>
      <w:r>
        <w:rPr>
          <w:sz w:val="18"/>
          <w:szCs w:val="18"/>
        </w:rPr>
        <w:t>QQ</w:t>
      </w:r>
      <w:r>
        <w:rPr>
          <w:rFonts w:hint="eastAsia"/>
          <w:sz w:val="18"/>
          <w:szCs w:val="18"/>
        </w:rPr>
        <w:t>：</w:t>
      </w:r>
      <w:r>
        <w:rPr>
          <w:sz w:val="18"/>
          <w:szCs w:val="18"/>
        </w:rPr>
        <w:t>2782468779</w:t>
      </w:r>
      <w:r>
        <w:rPr>
          <w:sz w:val="18"/>
          <w:szCs w:val="18"/>
        </w:rPr>
        <w:br w:type="textWrapping"/>
      </w:r>
      <w:r>
        <w:rPr>
          <w:rFonts w:hint="eastAsia"/>
          <w:sz w:val="18"/>
          <w:szCs w:val="18"/>
        </w:rPr>
        <w:t>电子邮箱：info@genecarer.com</w:t>
      </w:r>
    </w:p>
    <w:p w14:paraId="11232898">
      <w:pPr>
        <w:rPr>
          <w:rFonts w:hint="eastAsia"/>
          <w:sz w:val="18"/>
          <w:szCs w:val="18"/>
        </w:rPr>
      </w:pPr>
      <w:r>
        <w:rPr>
          <w:rFonts w:hint="eastAsia"/>
          <w:sz w:val="18"/>
          <w:szCs w:val="18"/>
        </w:rPr>
        <w:t>公司官网：</w:t>
      </w:r>
      <w:r>
        <w:fldChar w:fldCharType="begin"/>
      </w:r>
      <w:r>
        <w:instrText xml:space="preserve"> HYPERLINK "https://www.genecarersz.com/" </w:instrText>
      </w:r>
      <w:r>
        <w:fldChar w:fldCharType="separate"/>
      </w:r>
      <w:r>
        <w:rPr>
          <w:rStyle w:val="20"/>
          <w:sz w:val="18"/>
          <w:szCs w:val="18"/>
        </w:rPr>
        <w:t>https://www.genecarersz.com/</w:t>
      </w:r>
      <w:r>
        <w:rPr>
          <w:rStyle w:val="20"/>
          <w:sz w:val="18"/>
          <w:szCs w:val="18"/>
        </w:rPr>
        <w:fldChar w:fldCharType="end"/>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Helvetica">
    <w:altName w:val="Arial"/>
    <w:panose1 w:val="020B0604020202020204"/>
    <w:charset w:val="00"/>
    <w:family w:val="swiss"/>
    <w:pitch w:val="default"/>
    <w:sig w:usb0="00000000" w:usb1="00000000" w:usb2="00000009" w:usb3="00000000" w:csb0="000001F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AF141">
    <w:pPr>
      <w:widowControl/>
      <w:kinsoku w:val="0"/>
      <w:autoSpaceDE w:val="0"/>
      <w:autoSpaceDN w:val="0"/>
      <w:adjustRightInd w:val="0"/>
      <w:snapToGrid w:val="0"/>
      <w:spacing w:before="78" w:after="0" w:line="230" w:lineRule="auto"/>
      <w:ind w:left="16"/>
      <w:jc w:val="center"/>
      <w:textAlignment w:val="baseline"/>
      <w:rPr>
        <w:rFonts w:hint="eastAsia" w:ascii="微软雅黑" w:hAnsi="微软雅黑" w:eastAsia="微软雅黑" w:cs="微软雅黑"/>
        <w:snapToGrid w:val="0"/>
        <w:color w:val="2E75B5"/>
        <w:spacing w:val="-1"/>
        <w:kern w:val="0"/>
        <w:sz w:val="18"/>
        <w:szCs w:val="18"/>
        <w:u w:val="single"/>
        <w14:ligatures w14:val="none"/>
      </w:rPr>
    </w:pPr>
    <w:r>
      <w:rPr>
        <w:rFonts w:hint="eastAsia" w:ascii="微软雅黑" w:hAnsi="微软雅黑" w:eastAsia="微软雅黑" w:cs="微软雅黑"/>
        <w:snapToGrid w:val="0"/>
        <w:color w:val="2E75B5"/>
        <w:spacing w:val="-1"/>
        <w:kern w:val="0"/>
        <w:sz w:val="18"/>
        <w:szCs w:val="18"/>
        <w:u w:val="single"/>
        <w14:ligatures w14:val="none"/>
      </w:rPr>
      <w:t>基</w:t>
    </w:r>
    <w:r>
      <w:rPr>
        <w:rFonts w:ascii="微软雅黑" w:hAnsi="微软雅黑" w:eastAsia="微软雅黑" w:cs="微软雅黑"/>
        <w:snapToGrid w:val="0"/>
        <w:color w:val="2E75B5"/>
        <w:spacing w:val="-1"/>
        <w:kern w:val="0"/>
        <w:sz w:val="18"/>
        <w:szCs w:val="18"/>
        <w:u w:val="single"/>
        <w14:ligatures w14:val="none"/>
      </w:rPr>
      <w:t>因修饰细胞（敲除、敲入、点突变）</w:t>
    </w:r>
    <w:r>
      <w:rPr>
        <w:rFonts w:hint="eastAsia" w:ascii="微软雅黑" w:hAnsi="微软雅黑" w:eastAsia="微软雅黑" w:cs="微软雅黑"/>
        <w:snapToGrid w:val="0"/>
        <w:color w:val="2E75B5"/>
        <w:spacing w:val="-1"/>
        <w:kern w:val="0"/>
        <w:sz w:val="18"/>
        <w:szCs w:val="18"/>
        <w:u w:val="single"/>
        <w14:ligatures w14:val="none"/>
      </w:rPr>
      <w:t xml:space="preserve"> </w:t>
    </w:r>
    <w:r>
      <w:rPr>
        <w:rFonts w:ascii="微软雅黑" w:hAnsi="微软雅黑" w:eastAsia="微软雅黑" w:cs="微软雅黑"/>
        <w:snapToGrid w:val="0"/>
        <w:color w:val="2E75B5"/>
        <w:kern w:val="0"/>
        <w:sz w:val="18"/>
        <w:szCs w:val="18"/>
        <w:u w:val="single"/>
        <w14:ligatures w14:val="none"/>
      </w:rPr>
      <w:t>基础实验服务（动物实验、载体构建</w:t>
    </w:r>
    <w:r>
      <w:rPr>
        <w:rFonts w:hint="eastAsia" w:ascii="微软雅黑" w:hAnsi="微软雅黑" w:eastAsia="微软雅黑" w:cs="微软雅黑"/>
        <w:snapToGrid w:val="0"/>
        <w:color w:val="2E75B5"/>
        <w:kern w:val="0"/>
        <w:sz w:val="18"/>
        <w:szCs w:val="18"/>
        <w:u w:val="single"/>
        <w14:ligatures w14:val="none"/>
      </w:rPr>
      <w:t>）</w:t>
    </w:r>
  </w:p>
  <w:p w14:paraId="0DA63B75">
    <w:pPr>
      <w:widowControl/>
      <w:kinsoku w:val="0"/>
      <w:autoSpaceDE w:val="0"/>
      <w:autoSpaceDN w:val="0"/>
      <w:adjustRightInd w:val="0"/>
      <w:snapToGrid w:val="0"/>
      <w:spacing w:before="78" w:after="0" w:line="230" w:lineRule="auto"/>
      <w:ind w:left="16"/>
      <w:jc w:val="center"/>
      <w:textAlignment w:val="baseline"/>
      <w:rPr>
        <w:rFonts w:hint="eastAsia" w:ascii="微软雅黑" w:hAnsi="微软雅黑" w:eastAsia="微软雅黑" w:cs="微软雅黑"/>
        <w:snapToGrid w:val="0"/>
        <w:color w:val="2E75B5"/>
        <w:kern w:val="0"/>
        <w:sz w:val="18"/>
        <w:szCs w:val="18"/>
        <w14:ligatures w14:val="none"/>
      </w:rPr>
    </w:pPr>
    <w:r>
      <w:rPr>
        <w:rFonts w:ascii="微软雅黑" w:hAnsi="微软雅黑" w:eastAsia="微软雅黑" w:cs="微软雅黑"/>
        <w:snapToGrid w:val="0"/>
        <w:color w:val="2E75B5"/>
        <w:spacing w:val="-1"/>
        <w:kern w:val="0"/>
        <w:sz w:val="18"/>
        <w:szCs w:val="18"/>
        <w:u w:val="single"/>
        <w14:ligatures w14:val="none"/>
      </w:rPr>
      <w:t>病毒包装（慢病毒</w:t>
    </w:r>
    <w:r>
      <w:rPr>
        <w:rFonts w:ascii="微软雅黑" w:hAnsi="微软雅黑" w:eastAsia="微软雅黑" w:cs="微软雅黑"/>
        <w:snapToGrid w:val="0"/>
        <w:color w:val="2E75B5"/>
        <w:spacing w:val="-2"/>
        <w:kern w:val="0"/>
        <w:sz w:val="18"/>
        <w:szCs w:val="18"/>
        <w:u w:val="single"/>
        <w14:ligatures w14:val="none"/>
      </w:rPr>
      <w:t>、非整合慢病毒、腺病毒、腺相关病毒</w:t>
    </w:r>
    <w:r>
      <w:rPr>
        <w:rFonts w:hint="eastAsia" w:ascii="微软雅黑" w:hAnsi="微软雅黑" w:eastAsia="微软雅黑" w:cs="微软雅黑"/>
        <w:snapToGrid w:val="0"/>
        <w:color w:val="2E75B5"/>
        <w:spacing w:val="-2"/>
        <w:kern w:val="0"/>
        <w:sz w:val="18"/>
        <w:szCs w:val="18"/>
        <w:u w:val="single"/>
        <w14:ligatures w14:val="none"/>
      </w:rPr>
      <w:t>、病毒样颗粒蛋白、脂质体纳米颗粒</w:t>
    </w:r>
    <w:r>
      <w:rPr>
        <w:rFonts w:ascii="微软雅黑" w:hAnsi="微软雅黑" w:eastAsia="微软雅黑" w:cs="微软雅黑"/>
        <w:snapToGrid w:val="0"/>
        <w:color w:val="2E75B5"/>
        <w:spacing w:val="-2"/>
        <w:kern w:val="0"/>
        <w:sz w:val="18"/>
        <w:szCs w:val="18"/>
        <w:u w:val="single"/>
        <w14:ligatures w14:val="none"/>
      </w:rPr>
      <w:t>）</w:t>
    </w:r>
    <w:r>
      <w:rPr>
        <w:rFonts w:ascii="微软雅黑" w:hAnsi="微软雅黑" w:eastAsia="微软雅黑" w:cs="微软雅黑"/>
        <w:snapToGrid w:val="0"/>
        <w:color w:val="2E75B5"/>
        <w:kern w:val="0"/>
        <w:sz w:val="18"/>
        <w:szCs w:val="18"/>
        <w14:ligatures w14:val="none"/>
      </w:rPr>
      <w:t xml:space="preserve"> </w:t>
    </w:r>
    <w:r>
      <w:rPr>
        <w:rFonts w:hint="eastAsia" w:ascii="微软雅黑" w:hAnsi="微软雅黑" w:eastAsia="微软雅黑" w:cs="微软雅黑"/>
        <w:snapToGrid w:val="0"/>
        <w:color w:val="2E75B5"/>
        <w:kern w:val="0"/>
        <w:sz w:val="18"/>
        <w:szCs w:val="18"/>
        <w14:ligatures w14:val="none"/>
      </w:rPr>
      <w:t xml:space="preserve">                               </w:t>
    </w:r>
  </w:p>
  <w:p w14:paraId="3D43C043">
    <w:pPr>
      <w:widowControl/>
      <w:kinsoku w:val="0"/>
      <w:autoSpaceDE w:val="0"/>
      <w:autoSpaceDN w:val="0"/>
      <w:adjustRightInd w:val="0"/>
      <w:snapToGrid w:val="0"/>
      <w:spacing w:before="78" w:after="0" w:line="230" w:lineRule="auto"/>
      <w:ind w:left="16"/>
      <w:jc w:val="center"/>
      <w:textAlignment w:val="baseline"/>
      <w:rPr>
        <w:rFonts w:ascii="Arial" w:hAnsi="Arial" w:eastAsia="Arial" w:cs="Arial"/>
        <w:snapToGrid w:val="0"/>
        <w:color w:val="000000"/>
        <w:kern w:val="0"/>
        <w:sz w:val="21"/>
        <w:szCs w:val="21"/>
        <w14:ligatures w14:val="none"/>
      </w:rPr>
    </w:pPr>
    <w:r>
      <w:rPr>
        <w:rFonts w:hint="eastAsia" w:ascii="微软雅黑" w:hAnsi="微软雅黑" w:eastAsia="微软雅黑" w:cs="微软雅黑"/>
        <w:snapToGrid w:val="0"/>
        <w:color w:val="2E75B5"/>
        <w:kern w:val="0"/>
        <w:sz w:val="18"/>
        <w:szCs w:val="18"/>
        <w:u w:val="single"/>
        <w14:ligatures w14:val="none"/>
      </w:rPr>
      <w:t>试剂</w:t>
    </w:r>
    <w:r>
      <w:rPr>
        <w:rFonts w:ascii="微软雅黑" w:hAnsi="微软雅黑" w:eastAsia="微软雅黑" w:cs="微软雅黑"/>
        <w:snapToGrid w:val="0"/>
        <w:color w:val="2E75B5"/>
        <w:kern w:val="0"/>
        <w:sz w:val="18"/>
        <w:szCs w:val="18"/>
        <w:u w:val="single"/>
        <w14:ligatures w14:val="none"/>
      </w:rPr>
      <w:t>（</w:t>
    </w:r>
    <w:r>
      <w:rPr>
        <w:rFonts w:hint="eastAsia" w:ascii="微软雅黑" w:hAnsi="微软雅黑" w:eastAsia="微软雅黑" w:cs="微软雅黑"/>
        <w:snapToGrid w:val="0"/>
        <w:color w:val="2E75B5"/>
        <w:kern w:val="0"/>
        <w:sz w:val="18"/>
        <w:szCs w:val="18"/>
        <w:u w:val="single"/>
        <w14:ligatures w14:val="none"/>
      </w:rPr>
      <w:t>常规试剂</w:t>
    </w:r>
    <w:r>
      <w:rPr>
        <w:rFonts w:ascii="微软雅黑" w:hAnsi="微软雅黑" w:eastAsia="微软雅黑" w:cs="微软雅黑"/>
        <w:snapToGrid w:val="0"/>
        <w:color w:val="2E75B5"/>
        <w:kern w:val="0"/>
        <w:sz w:val="18"/>
        <w:szCs w:val="18"/>
        <w:u w:val="single"/>
        <w14:ligatures w14:val="none"/>
      </w:rPr>
      <w:t>、</w:t>
    </w:r>
    <w:r>
      <w:rPr>
        <w:rFonts w:hint="eastAsia" w:ascii="微软雅黑" w:hAnsi="微软雅黑" w:eastAsia="微软雅黑" w:cs="微软雅黑"/>
        <w:snapToGrid w:val="0"/>
        <w:color w:val="2E75B5"/>
        <w:kern w:val="0"/>
        <w:sz w:val="18"/>
        <w:szCs w:val="18"/>
        <w:u w:val="single"/>
        <w14:ligatures w14:val="none"/>
      </w:rPr>
      <w:t>感受态、基因敲除敲入点突变试剂盒、滴度检测试剂盒</w:t>
    </w:r>
    <w:r>
      <w:rPr>
        <w:rFonts w:ascii="微软雅黑" w:hAnsi="微软雅黑" w:eastAsia="微软雅黑" w:cs="微软雅黑"/>
        <w:snapToGrid w:val="0"/>
        <w:color w:val="2E75B5"/>
        <w:spacing w:val="-1"/>
        <w:kern w:val="0"/>
        <w:sz w:val="18"/>
        <w:szCs w:val="18"/>
        <w:u w:val="single"/>
        <w14:ligatures w14:val="none"/>
      </w:rPr>
      <w:t>）</w:t>
    </w:r>
  </w:p>
  <w:p w14:paraId="6B338C20">
    <w:pPr>
      <w:pStyle w:val="1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2293B">
    <w:pPr>
      <w:pStyle w:val="13"/>
      <w:rPr>
        <w:rFonts w:hint="eastAsia"/>
      </w:rPr>
    </w:pPr>
    <w:r>
      <w:drawing>
        <wp:inline distT="0" distB="0" distL="114300" distR="114300">
          <wp:extent cx="4179570" cy="325120"/>
          <wp:effectExtent l="0" t="0" r="0" b="0"/>
          <wp:docPr id="10997719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71929" name="图片 11"/>
                  <pic:cNvPicPr>
                    <a:picLocks noChangeAspect="1"/>
                  </pic:cNvPicPr>
                </pic:nvPicPr>
                <pic:blipFill>
                  <a:blip r:embed="rId1"/>
                  <a:stretch>
                    <a:fillRect/>
                  </a:stretch>
                </pic:blipFill>
                <pic:spPr>
                  <a:xfrm>
                    <a:off x="0" y="0"/>
                    <a:ext cx="4363890" cy="33941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BC4B125B-295E-4C7F-9E84-F8266F890492}"/>
    <w:docVar w:name="KY_MEDREF_VERSION" w:val="3"/>
  </w:docVars>
  <w:rsids>
    <w:rsidRoot w:val="00806D66"/>
    <w:rsid w:val="000202A6"/>
    <w:rsid w:val="000D7DD3"/>
    <w:rsid w:val="001B16AE"/>
    <w:rsid w:val="0023604F"/>
    <w:rsid w:val="002709CD"/>
    <w:rsid w:val="002F202F"/>
    <w:rsid w:val="003114ED"/>
    <w:rsid w:val="00353C88"/>
    <w:rsid w:val="00372C9C"/>
    <w:rsid w:val="00390A96"/>
    <w:rsid w:val="00525D05"/>
    <w:rsid w:val="00545553"/>
    <w:rsid w:val="00633538"/>
    <w:rsid w:val="007328DD"/>
    <w:rsid w:val="00796D08"/>
    <w:rsid w:val="00806D66"/>
    <w:rsid w:val="00971976"/>
    <w:rsid w:val="009B7C5A"/>
    <w:rsid w:val="009F79F2"/>
    <w:rsid w:val="00A0347A"/>
    <w:rsid w:val="00A30C6C"/>
    <w:rsid w:val="00AC39F1"/>
    <w:rsid w:val="00B55403"/>
    <w:rsid w:val="00BD3416"/>
    <w:rsid w:val="00CC7654"/>
    <w:rsid w:val="00CE17B2"/>
    <w:rsid w:val="00CF41D5"/>
    <w:rsid w:val="00D96F3D"/>
    <w:rsid w:val="00DA3E2F"/>
    <w:rsid w:val="00E447F2"/>
    <w:rsid w:val="00EC18B2"/>
    <w:rsid w:val="00ED322B"/>
    <w:rsid w:val="00F82E3D"/>
    <w:rsid w:val="00FA257E"/>
    <w:rsid w:val="0AB17A64"/>
    <w:rsid w:val="215B0D7D"/>
    <w:rsid w:val="34795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7"/>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8"/>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6"/>
    <w:semiHidden/>
    <w:unhideWhenUsed/>
    <w:qFormat/>
    <w:uiPriority w:val="99"/>
  </w:style>
  <w:style w:type="paragraph" w:styleId="12">
    <w:name w:val="footer"/>
    <w:basedOn w:val="1"/>
    <w:link w:val="41"/>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40"/>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2"/>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1"/>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47"/>
    <w:semiHidden/>
    <w:unhideWhenUsed/>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563C1" w:themeColor="hyperlink"/>
      <w:u w:val="single"/>
      <w14:textFill>
        <w14:solidFill>
          <w14:schemeClr w14:val="hlink"/>
        </w14:solidFill>
      </w14:textFill>
    </w:rPr>
  </w:style>
  <w:style w:type="character" w:styleId="21">
    <w:name w:val="annotation reference"/>
    <w:basedOn w:val="19"/>
    <w:semiHidden/>
    <w:unhideWhenUsed/>
    <w:qFormat/>
    <w:uiPriority w:val="99"/>
    <w:rPr>
      <w:sz w:val="21"/>
      <w:szCs w:val="21"/>
    </w:rPr>
  </w:style>
  <w:style w:type="character" w:customStyle="1" w:styleId="22">
    <w:name w:val="标题 1 字符"/>
    <w:basedOn w:val="19"/>
    <w:link w:val="2"/>
    <w:qFormat/>
    <w:uiPriority w:val="9"/>
    <w:rPr>
      <w:rFonts w:asciiTheme="majorHAnsi" w:hAnsiTheme="majorHAnsi" w:eastAsiaTheme="majorEastAsia" w:cstheme="majorBidi"/>
      <w:color w:val="2F5597" w:themeColor="accent1" w:themeShade="BF"/>
      <w:sz w:val="48"/>
      <w:szCs w:val="48"/>
    </w:rPr>
  </w:style>
  <w:style w:type="character" w:customStyle="1" w:styleId="23">
    <w:name w:val="标题 2 字符"/>
    <w:basedOn w:val="19"/>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4">
    <w:name w:val="标题 3 字符"/>
    <w:basedOn w:val="19"/>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5">
    <w:name w:val="标题 4 字符"/>
    <w:basedOn w:val="19"/>
    <w:link w:val="5"/>
    <w:semiHidden/>
    <w:qFormat/>
    <w:uiPriority w:val="9"/>
    <w:rPr>
      <w:rFonts w:cstheme="majorBidi"/>
      <w:color w:val="2F5597" w:themeColor="accent1" w:themeShade="BF"/>
      <w:sz w:val="28"/>
      <w:szCs w:val="28"/>
    </w:rPr>
  </w:style>
  <w:style w:type="character" w:customStyle="1" w:styleId="26">
    <w:name w:val="标题 5 字符"/>
    <w:basedOn w:val="19"/>
    <w:link w:val="6"/>
    <w:semiHidden/>
    <w:qFormat/>
    <w:uiPriority w:val="9"/>
    <w:rPr>
      <w:rFonts w:cstheme="majorBidi"/>
      <w:color w:val="2F5597" w:themeColor="accent1" w:themeShade="BF"/>
      <w:sz w:val="24"/>
    </w:rPr>
  </w:style>
  <w:style w:type="character" w:customStyle="1" w:styleId="27">
    <w:name w:val="标题 6 字符"/>
    <w:basedOn w:val="19"/>
    <w:link w:val="7"/>
    <w:semiHidden/>
    <w:qFormat/>
    <w:uiPriority w:val="9"/>
    <w:rPr>
      <w:rFonts w:cstheme="majorBidi"/>
      <w:b/>
      <w:bCs/>
      <w:color w:val="2F5597" w:themeColor="accent1" w:themeShade="BF"/>
    </w:rPr>
  </w:style>
  <w:style w:type="character" w:customStyle="1" w:styleId="28">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19"/>
    <w:link w:val="15"/>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19"/>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明显强调1"/>
    <w:basedOn w:val="19"/>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明显引用 字符"/>
    <w:basedOn w:val="19"/>
    <w:link w:val="37"/>
    <w:qFormat/>
    <w:uiPriority w:val="30"/>
    <w:rPr>
      <w:i/>
      <w:iCs/>
      <w:color w:val="2F5597" w:themeColor="accent1" w:themeShade="BF"/>
    </w:rPr>
  </w:style>
  <w:style w:type="character" w:customStyle="1" w:styleId="39">
    <w:name w:val="明显参考1"/>
    <w:basedOn w:val="19"/>
    <w:qFormat/>
    <w:uiPriority w:val="32"/>
    <w:rPr>
      <w:b/>
      <w:bCs/>
      <w:smallCaps/>
      <w:color w:val="2F5597" w:themeColor="accent1" w:themeShade="BF"/>
      <w:spacing w:val="5"/>
    </w:rPr>
  </w:style>
  <w:style w:type="character" w:customStyle="1" w:styleId="40">
    <w:name w:val="页眉 字符"/>
    <w:basedOn w:val="19"/>
    <w:link w:val="13"/>
    <w:qFormat/>
    <w:uiPriority w:val="99"/>
    <w:rPr>
      <w:sz w:val="18"/>
      <w:szCs w:val="18"/>
    </w:rPr>
  </w:style>
  <w:style w:type="character" w:customStyle="1" w:styleId="41">
    <w:name w:val="页脚 字符"/>
    <w:basedOn w:val="19"/>
    <w:link w:val="12"/>
    <w:qFormat/>
    <w:uiPriority w:val="99"/>
    <w:rPr>
      <w:sz w:val="18"/>
      <w:szCs w:val="18"/>
    </w:rPr>
  </w:style>
  <w:style w:type="table" w:customStyle="1" w:styleId="42">
    <w:name w:val="网格型浅色1"/>
    <w:basedOn w:val="17"/>
    <w:qFormat/>
    <w:uiPriority w:val="40"/>
    <w:rPr>
      <w:rFonts w:ascii="Times New Roman" w:hAnsi="Times New Roman" w:eastAsia="宋体" w:cs="Times New Roman"/>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style>
  <w:style w:type="table" w:customStyle="1" w:styleId="43">
    <w:name w:val="网格型浅色12"/>
    <w:basedOn w:val="17"/>
    <w:qFormat/>
    <w:uiPriority w:val="40"/>
    <w:rPr>
      <w:rFonts w:ascii="Times New Roman" w:hAnsi="Times New Roman" w:eastAsia="宋体" w:cs="Times New Roman"/>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style>
  <w:style w:type="table" w:customStyle="1" w:styleId="44">
    <w:name w:val="网格型浅色11"/>
    <w:basedOn w:val="17"/>
    <w:qFormat/>
    <w:uiPriority w:val="40"/>
    <w:rPr>
      <w:rFonts w:ascii="Times New Roman" w:hAnsi="Times New Roman" w:eastAsia="宋体" w:cs="Times New Roman"/>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style>
  <w:style w:type="character" w:customStyle="1" w:styleId="45">
    <w:name w:val="未处理的提及1"/>
    <w:basedOn w:val="19"/>
    <w:semiHidden/>
    <w:unhideWhenUsed/>
    <w:qFormat/>
    <w:uiPriority w:val="99"/>
    <w:rPr>
      <w:color w:val="605E5C"/>
      <w:shd w:val="clear" w:color="auto" w:fill="E1DFDD"/>
    </w:rPr>
  </w:style>
  <w:style w:type="character" w:customStyle="1" w:styleId="46">
    <w:name w:val="批注文字 字符"/>
    <w:basedOn w:val="19"/>
    <w:link w:val="11"/>
    <w:semiHidden/>
    <w:uiPriority w:val="99"/>
    <w:rPr>
      <w:kern w:val="2"/>
      <w:sz w:val="22"/>
      <w:szCs w:val="24"/>
      <w14:ligatures w14:val="standardContextual"/>
    </w:rPr>
  </w:style>
  <w:style w:type="character" w:customStyle="1" w:styleId="47">
    <w:name w:val="批注主题 字符"/>
    <w:basedOn w:val="46"/>
    <w:link w:val="16"/>
    <w:semiHidden/>
    <w:uiPriority w:val="99"/>
    <w:rPr>
      <w:b/>
      <w:bCs/>
      <w:kern w:val="2"/>
      <w:sz w:val="22"/>
      <w:szCs w:val="24"/>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2309</Words>
  <Characters>2972</Characters>
  <Lines>24</Lines>
  <Paragraphs>6</Paragraphs>
  <TotalTime>238</TotalTime>
  <ScaleCrop>false</ScaleCrop>
  <LinksUpToDate>false</LinksUpToDate>
  <CharactersWithSpaces>3068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2025-12-01T08:09:00Z</dcterms:created>
  <dc:creator>yangyang li</dc:creator>
  <cp:lastModifiedBy>王一帆</cp:lastModifiedBy>
  <dcterms:modified xsi:type="dcterms:W3CDTF">2026-08-11T06:56:55Z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eyJoZGlkIjoiODdkNzI2YWVhMmRjNTVhNTZkN2MzOWEyNTg1OWI1OTUiLCJ1c2VySWQiOiIzMDk5Mzk3NDAifQ==</vt:lpwstr>
  </property>
  <property fmtid="{D5CDD505-2E9C-101B-9397-08002B2CF9AE}" pid="3" name="KSOProductBuildVer">
    <vt:lpwstr>2052-12.1.0.28022</vt:lpwstr>
  </property>
  <property fmtid="{D5CDD505-2E9C-101B-9397-08002B2CF9AE}" pid="4" name="ICV">
    <vt:lpwstr>6CFA75A483ED469F84A46C67A1E2E1D4_13</vt:lpwstr>
  </property>
</Properties>
</file>