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4DE1E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黑体"/>
          <w:b/>
          <w:bCs/>
          <w:sz w:val="28"/>
          <w:szCs w:val="28"/>
        </w:rPr>
      </w:pPr>
      <w:bookmarkStart w:id="0" w:name="_Hlk208842777"/>
      <w:bookmarkEnd w:id="0"/>
      <w:r>
        <w:rPr>
          <w:rFonts w:ascii="Times New Roman" w:hAnsi="Times New Roman" w:eastAsia="宋体" w:cs="Times New Roman"/>
          <w:sz w:val="2"/>
        </w:rPr>
        <mc:AlternateContent>
          <mc:Choice Requires="wpg">
            <w:drawing>
              <wp:inline distT="0" distB="0" distL="0" distR="0">
                <wp:extent cx="5274310" cy="2540"/>
                <wp:effectExtent l="0" t="0" r="0" b="0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014"/>
                          <a:chOff x="0" y="0"/>
                          <a:chExt cx="5555615" cy="31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523"/>
                            <a:ext cx="5555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5615">
                                <a:moveTo>
                                  <a:pt x="0" y="0"/>
                                </a:moveTo>
                                <a:lnTo>
                                  <a:pt x="555561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64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o:spid="_x0000_s1026" o:spt="203" style="height:0.2pt;width:415.3pt;" coordsize="5555615,3175" o:gfxdata="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D3Y34E1AAAAAIBAAAPAAAAAAAAAAEAIAAAACIAAABkcnMvZG93bnJl&#10;di54bWxQSwECFAAUAAAACACHTuJAWqEqxnMCAACnBQAADgAAAAAAAAABACAAAAAjAQAAZHJzL2Uy&#10;b0RvYy54bWxQSwUGAAAAAAYABgBZAQAACAYAAAAA&#10;">
                <o:lock v:ext="edit" aspectratio="f"/>
                <v:shape id="Graphic 4" o:spid="_x0000_s1026" o:spt="100" style="position:absolute;left:0;top:1523;height:1270;width:5555615;" filled="f" stroked="t" coordsize="5555615,1" o:gfxdata="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giz64ugAAANoA&#10;AAAPAAAAAAAAAAEAIAAAACIAAABkcnMvZG93bnJldi54bWxQSwECFAAUAAAACACHTuJAMy8FnjsA&#10;AAA5AAAAEAAAAAAAAAABACAAAAAJAQAAZHJzL3NoYXBleG1sLnhtbFBLBQYAAAAABgAGAFsBAACz&#10;AwAAAAA=&#10;" path="m0,0l5555615,0e">
                  <v:fill on="f" focussize="0,0"/>
                  <v:stroke weight="0.24pt" color="#0064AE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447A1C56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黑体"/>
          <w:b/>
          <w:bCs/>
          <w:szCs w:val="22"/>
        </w:rPr>
      </w:pPr>
    </w:p>
    <w:p w14:paraId="1B9DD740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黑体"/>
          <w:b/>
          <w:bCs/>
          <w:sz w:val="28"/>
          <w:szCs w:val="28"/>
        </w:rPr>
      </w:pPr>
      <w:r>
        <w:rPr>
          <w:rFonts w:hint="eastAsia" w:ascii="Times New Roman" w:hAnsi="Times New Roman" w:eastAsia="黑体"/>
          <w:b/>
          <w:bCs/>
          <w:sz w:val="28"/>
          <w:szCs w:val="28"/>
        </w:rPr>
        <w:t>SW480细胞说明书</w:t>
      </w:r>
    </w:p>
    <w:tbl>
      <w:tblPr>
        <w:tblStyle w:val="16"/>
        <w:tblpPr w:leftFromText="180" w:rightFromText="180" w:vertAnchor="text" w:horzAnchor="page" w:tblpX="6421" w:tblpY="390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562"/>
      </w:tblGrid>
      <w:tr w14:paraId="45B7A0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97" w:type="dxa"/>
            <w:vAlign w:val="center"/>
          </w:tcPr>
          <w:p w14:paraId="11577B15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货  号</w:t>
            </w:r>
          </w:p>
        </w:tc>
        <w:tc>
          <w:tcPr>
            <w:tcW w:w="3562" w:type="dxa"/>
            <w:vAlign w:val="center"/>
          </w:tcPr>
          <w:p w14:paraId="64199D62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SZJNK-00369</w:t>
            </w:r>
          </w:p>
        </w:tc>
      </w:tr>
      <w:tr w14:paraId="123E36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97" w:type="dxa"/>
            <w:vAlign w:val="center"/>
          </w:tcPr>
          <w:p w14:paraId="309ED206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规  格</w:t>
            </w:r>
          </w:p>
        </w:tc>
        <w:tc>
          <w:tcPr>
            <w:tcW w:w="3562" w:type="dxa"/>
            <w:vAlign w:val="center"/>
          </w:tcPr>
          <w:p w14:paraId="57EBF5B6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1×10</w:t>
            </w:r>
            <w:r>
              <w:rPr>
                <w:rFonts w:hint="eastAsia" w:ascii="Times New Roman" w:hAnsi="Times New Roman" w:eastAsia="宋体"/>
                <w:sz w:val="21"/>
                <w:szCs w:val="21"/>
                <w:vertAlign w:val="superscript"/>
              </w:rPr>
              <w:t xml:space="preserve">6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cells（1个T25瓶/2冻存管）</w:t>
            </w:r>
          </w:p>
        </w:tc>
      </w:tr>
      <w:tr w14:paraId="16EC82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97" w:type="dxa"/>
            <w:vAlign w:val="center"/>
          </w:tcPr>
          <w:p w14:paraId="77BF036D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来  源</w:t>
            </w:r>
          </w:p>
        </w:tc>
        <w:tc>
          <w:tcPr>
            <w:tcW w:w="3562" w:type="dxa"/>
            <w:vAlign w:val="center"/>
          </w:tcPr>
          <w:p w14:paraId="75F36EBF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结肠腺癌</w:t>
            </w:r>
          </w:p>
        </w:tc>
      </w:tr>
      <w:tr w14:paraId="32DF36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97" w:type="dxa"/>
            <w:vAlign w:val="center"/>
          </w:tcPr>
          <w:p w14:paraId="0A64F3F0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特  征</w:t>
            </w:r>
          </w:p>
        </w:tc>
        <w:tc>
          <w:tcPr>
            <w:tcW w:w="3562" w:type="dxa"/>
            <w:vAlign w:val="center"/>
          </w:tcPr>
          <w:p w14:paraId="5DEEF2A3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贴壁生长</w:t>
            </w:r>
          </w:p>
        </w:tc>
      </w:tr>
      <w:tr w14:paraId="65C7E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897" w:type="dxa"/>
            <w:vAlign w:val="center"/>
          </w:tcPr>
          <w:p w14:paraId="38442DEE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培养基</w:t>
            </w:r>
          </w:p>
        </w:tc>
        <w:tc>
          <w:tcPr>
            <w:tcW w:w="3562" w:type="dxa"/>
            <w:vAlign w:val="center"/>
          </w:tcPr>
          <w:p w14:paraId="2AA2D68F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专用培养基（货号：XXX）</w:t>
            </w:r>
          </w:p>
          <w:p w14:paraId="440DF049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或90% L15+10% FBS+1% P/S</w:t>
            </w:r>
          </w:p>
        </w:tc>
      </w:tr>
    </w:tbl>
    <w:p w14:paraId="41E283DB">
      <w:pPr>
        <w:adjustRightInd w:val="0"/>
        <w:snapToGrid w:val="0"/>
        <w:spacing w:after="0" w:line="360" w:lineRule="auto"/>
        <w:jc w:val="center"/>
        <w:rPr>
          <w:rFonts w:ascii="Times New Roman" w:hAnsi="Times New Roman" w:eastAsia="黑体"/>
          <w:b/>
          <w:bCs/>
          <w:szCs w:val="22"/>
        </w:rPr>
      </w:pPr>
      <w:r>
        <w:rPr>
          <w:rFonts w:hint="eastAsia" w:ascii="Times New Roman" w:hAnsi="Times New Roman" w:eastAsia="宋体"/>
        </w:rPr>
        <w:t xml:space="preserve"> </w:t>
      </w:r>
    </w:p>
    <w:p w14:paraId="29E93E5A">
      <w:pPr>
        <w:adjustRightInd w:val="0"/>
        <w:snapToGrid w:val="0"/>
        <w:spacing w:line="15" w:lineRule="atLeast"/>
        <w:jc w:val="both"/>
        <w:rPr>
          <w:rFonts w:ascii="Times New Roman" w:hAnsi="Times New Roman" w:eastAsia="宋体"/>
        </w:rPr>
      </w:pPr>
    </w:p>
    <w:p w14:paraId="7409DBB5">
      <w:pPr>
        <w:tabs>
          <w:tab w:val="left" w:pos="5388"/>
        </w:tabs>
        <w:adjustRightInd w:val="0"/>
        <w:snapToGrid w:val="0"/>
        <w:spacing w:after="0" w:line="360" w:lineRule="auto"/>
        <w:rPr>
          <w:rFonts w:ascii="Times New Roman" w:hAnsi="Times New Roman" w:eastAsia="黑体"/>
          <w:b/>
          <w:bCs/>
          <w:sz w:val="28"/>
          <w:szCs w:val="28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/>
          <w:b/>
          <w:bCs/>
          <w:sz w:val="28"/>
          <w:szCs w:val="28"/>
        </w:rPr>
        <w:tab/>
      </w:r>
    </w:p>
    <w:p w14:paraId="393EA6DD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bookmarkStart w:id="1" w:name="OLE_LINK1"/>
      <w:r>
        <w:rPr>
          <w:rFonts w:hint="eastAsia" w:ascii="黑体" w:hAnsi="黑体" w:eastAsia="黑体"/>
          <w:sz w:val="28"/>
          <w:szCs w:val="28"/>
        </w:rPr>
        <w:t>一、基本信息</w:t>
      </w:r>
    </w:p>
    <w:bookmarkEnd w:id="1"/>
    <w:tbl>
      <w:tblPr>
        <w:tblStyle w:val="16"/>
        <w:tblW w:w="93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7215"/>
      </w:tblGrid>
      <w:tr w14:paraId="2719A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119" w:type="dxa"/>
          </w:tcPr>
          <w:p w14:paraId="33944CB8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中文名称</w:t>
            </w:r>
          </w:p>
        </w:tc>
        <w:tc>
          <w:tcPr>
            <w:tcW w:w="7215" w:type="dxa"/>
          </w:tcPr>
          <w:p w14:paraId="5B4FFFEA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人结直肠腺癌细胞（SW480）</w:t>
            </w:r>
          </w:p>
        </w:tc>
      </w:tr>
      <w:tr w14:paraId="2E07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19" w:type="dxa"/>
          </w:tcPr>
          <w:p w14:paraId="1D772C1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别称</w:t>
            </w:r>
          </w:p>
        </w:tc>
        <w:tc>
          <w:tcPr>
            <w:tcW w:w="7215" w:type="dxa"/>
          </w:tcPr>
          <w:p w14:paraId="7FE2774A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SW-480；SW 480</w:t>
            </w:r>
          </w:p>
        </w:tc>
      </w:tr>
      <w:tr w14:paraId="7711B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119" w:type="dxa"/>
          </w:tcPr>
          <w:p w14:paraId="6C09EF1C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细胞货号</w:t>
            </w:r>
          </w:p>
        </w:tc>
        <w:tc>
          <w:tcPr>
            <w:tcW w:w="7215" w:type="dxa"/>
          </w:tcPr>
          <w:p w14:paraId="5426FF01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SZJNK-00369</w:t>
            </w:r>
          </w:p>
        </w:tc>
      </w:tr>
      <w:tr w14:paraId="3690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6" w:hRule="atLeast"/>
        </w:trPr>
        <w:tc>
          <w:tcPr>
            <w:tcW w:w="2119" w:type="dxa"/>
          </w:tcPr>
          <w:p w14:paraId="7CB43C48">
            <w:pPr>
              <w:widowControl/>
              <w:adjustRightInd w:val="0"/>
              <w:snapToGrid w:val="0"/>
              <w:spacing w:before="624" w:beforeLines="200"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细胞背景</w:t>
            </w:r>
          </w:p>
        </w:tc>
        <w:tc>
          <w:tcPr>
            <w:tcW w:w="7215" w:type="dxa"/>
          </w:tcPr>
          <w:p w14:paraId="2979892C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0"/>
                <w:szCs w:val="20"/>
              </w:rPr>
              <w:t>SW480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>是一种人结肠腺癌细胞系，源自一位 50 岁白人男性患者的原发性直肠腺癌。该细胞系由 Leibovitz 等人于 1977 年建立，因其典型的结直肠癌分子特征（p53、KRAS、APC 突变）和与 SW620 的同源配对特性，成为结直肠癌研究领域不可替代的模型。</w:t>
            </w:r>
          </w:p>
        </w:tc>
      </w:tr>
      <w:tr w14:paraId="764F5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2119" w:type="dxa"/>
          </w:tcPr>
          <w:p w14:paraId="548B9A3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细胞形态</w:t>
            </w:r>
          </w:p>
        </w:tc>
        <w:tc>
          <w:tcPr>
            <w:tcW w:w="7215" w:type="dxa"/>
          </w:tcPr>
          <w:p w14:paraId="0AA8519B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上皮细胞样</w:t>
            </w:r>
          </w:p>
        </w:tc>
      </w:tr>
      <w:tr w14:paraId="10A0A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119" w:type="dxa"/>
          </w:tcPr>
          <w:p w14:paraId="5C32900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供体来源</w:t>
            </w:r>
          </w:p>
        </w:tc>
        <w:tc>
          <w:tcPr>
            <w:tcW w:w="7215" w:type="dxa"/>
          </w:tcPr>
          <w:p w14:paraId="1ACB9F08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男性</w:t>
            </w:r>
            <w:r>
              <w:rPr>
                <w:rFonts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>；50岁</w:t>
            </w:r>
          </w:p>
        </w:tc>
      </w:tr>
      <w:tr w14:paraId="0B0AB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119" w:type="dxa"/>
          </w:tcPr>
          <w:p w14:paraId="7DD40EAD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细胞类型</w:t>
            </w:r>
          </w:p>
        </w:tc>
        <w:tc>
          <w:tcPr>
            <w:tcW w:w="7215" w:type="dxa"/>
          </w:tcPr>
          <w:p w14:paraId="4B4401ED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肿瘤细胞</w:t>
            </w:r>
          </w:p>
        </w:tc>
      </w:tr>
      <w:tr w14:paraId="2CC86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119" w:type="dxa"/>
          </w:tcPr>
          <w:p w14:paraId="360E56B9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收录</w:t>
            </w:r>
          </w:p>
        </w:tc>
        <w:tc>
          <w:tcPr>
            <w:tcW w:w="7215" w:type="dxa"/>
          </w:tcPr>
          <w:p w14:paraId="5F21BFD0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ATCC</w:t>
            </w:r>
          </w:p>
        </w:tc>
      </w:tr>
      <w:tr w14:paraId="390A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119" w:type="dxa"/>
          </w:tcPr>
          <w:p w14:paraId="1F68687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培养条件</w:t>
            </w:r>
          </w:p>
        </w:tc>
        <w:tc>
          <w:tcPr>
            <w:tcW w:w="7215" w:type="dxa"/>
          </w:tcPr>
          <w:p w14:paraId="037BA234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37℃；5% CO</w:t>
            </w:r>
            <w:r>
              <w:rPr>
                <w:rFonts w:hint="eastAsia" w:ascii="Times New Roman" w:hAnsi="Times New Roman" w:eastAsia="宋体"/>
                <w:sz w:val="20"/>
                <w:szCs w:val="20"/>
                <w:vertAlign w:val="subscript"/>
              </w:rPr>
              <w:t>2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>；饱和湿度</w:t>
            </w:r>
          </w:p>
        </w:tc>
      </w:tr>
      <w:tr w14:paraId="0866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119" w:type="dxa"/>
          </w:tcPr>
          <w:p w14:paraId="5B7730A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培养体系</w:t>
            </w:r>
          </w:p>
        </w:tc>
        <w:tc>
          <w:tcPr>
            <w:tcW w:w="7215" w:type="dxa"/>
          </w:tcPr>
          <w:p w14:paraId="06918EE5">
            <w:pPr>
              <w:adjustRightInd w:val="0"/>
              <w:snapToGrid w:val="0"/>
              <w:spacing w:after="0" w:line="15" w:lineRule="atLeast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专用培养基（货号：XXX）</w:t>
            </w:r>
          </w:p>
          <w:p w14:paraId="1923AB14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或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90% L15+10% FBS+1% P/S</w:t>
            </w:r>
          </w:p>
        </w:tc>
      </w:tr>
      <w:tr w14:paraId="5818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2119" w:type="dxa"/>
          </w:tcPr>
          <w:p w14:paraId="6ECAD230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倍增时间</w:t>
            </w:r>
          </w:p>
        </w:tc>
        <w:tc>
          <w:tcPr>
            <w:tcW w:w="7215" w:type="dxa"/>
          </w:tcPr>
          <w:p w14:paraId="75EE7558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约24-48hours</w:t>
            </w:r>
          </w:p>
        </w:tc>
      </w:tr>
      <w:tr w14:paraId="23C80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19" w:type="dxa"/>
          </w:tcPr>
          <w:p w14:paraId="439FD5C5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冻存条件</w:t>
            </w:r>
          </w:p>
        </w:tc>
        <w:tc>
          <w:tcPr>
            <w:tcW w:w="7215" w:type="dxa"/>
          </w:tcPr>
          <w:p w14:paraId="65D8BE88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专用冻存液（货号：XXX）</w:t>
            </w:r>
          </w:p>
          <w:p w14:paraId="47124AB0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ascii="Times New Roman" w:hAnsi="Times New Roman" w:eastAsia="宋体"/>
                <w:sz w:val="20"/>
                <w:szCs w:val="20"/>
              </w:rPr>
              <w:t>冻存液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>：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55% 基础培养基 + 40% FBS + 5% DMSO；液氮</w:t>
            </w:r>
          </w:p>
        </w:tc>
      </w:tr>
      <w:tr w14:paraId="7105E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9" w:hRule="atLeast"/>
        </w:trPr>
        <w:tc>
          <w:tcPr>
            <w:tcW w:w="2119" w:type="dxa"/>
            <w:tcBorders>
              <w:bottom w:val="single" w:color="auto" w:sz="4" w:space="0"/>
            </w:tcBorders>
          </w:tcPr>
          <w:p w14:paraId="4CFE6890">
            <w:pPr>
              <w:widowControl/>
              <w:spacing w:before="936" w:beforeLines="300"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基因表达数据库</w:t>
            </w:r>
          </w:p>
        </w:tc>
        <w:tc>
          <w:tcPr>
            <w:tcW w:w="7215" w:type="dxa"/>
            <w:tcBorders>
              <w:bottom w:val="single" w:color="auto" w:sz="4" w:space="0"/>
            </w:tcBorders>
          </w:tcPr>
          <w:p w14:paraId="56FE3361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ArrayExpress：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 E-MTAB-8214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E-MTAB-5876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E-MTAB-3786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E-MTAB-3479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E-MTAB-2487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宋体"/>
                <w:sz w:val="20"/>
                <w:szCs w:val="20"/>
              </w:rPr>
              <w:t>E-MTAB-8417 E-MTAB-2605</w:t>
            </w:r>
            <w:r>
              <w:rPr>
                <w:rFonts w:hint="eastAsia" w:ascii="Times New Roman" w:hAnsi="Times New Roman" w:eastAsia="宋体"/>
                <w:sz w:val="20"/>
                <w:szCs w:val="20"/>
              </w:rPr>
              <w:t xml:space="preserve"> GEO：GSM8889630 GSM8889631 GSM7979684 GSM7979685 GSM9243859 GSM9243860</w:t>
            </w:r>
          </w:p>
        </w:tc>
      </w:tr>
      <w:tr w14:paraId="78C9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119" w:type="dxa"/>
            <w:vAlign w:val="center"/>
          </w:tcPr>
          <w:p w14:paraId="0B538E8B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sz w:val="20"/>
                <w:szCs w:val="20"/>
              </w:rPr>
              <w:t>细胞活力</w:t>
            </w:r>
          </w:p>
        </w:tc>
        <w:tc>
          <w:tcPr>
            <w:tcW w:w="7215" w:type="dxa"/>
            <w:vAlign w:val="center"/>
          </w:tcPr>
          <w:p w14:paraId="1F902ADD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/>
                <w:sz w:val="20"/>
                <w:szCs w:val="20"/>
              </w:rPr>
              <w:t>台盼蓝染色</w:t>
            </w:r>
          </w:p>
        </w:tc>
      </w:tr>
      <w:tr w14:paraId="68BF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119" w:type="dxa"/>
            <w:vAlign w:val="center"/>
          </w:tcPr>
          <w:p w14:paraId="55330F92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sz w:val="20"/>
                <w:szCs w:val="20"/>
              </w:rPr>
              <w:t>无菌检验</w:t>
            </w:r>
          </w:p>
        </w:tc>
        <w:tc>
          <w:tcPr>
            <w:tcW w:w="7215" w:type="dxa"/>
            <w:vAlign w:val="center"/>
          </w:tcPr>
          <w:p w14:paraId="22E93C6B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sz w:val="20"/>
                <w:szCs w:val="20"/>
              </w:rPr>
              <w:t>阴性（√）；阳性（ ）</w:t>
            </w:r>
          </w:p>
        </w:tc>
      </w:tr>
      <w:tr w14:paraId="3CAB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119" w:type="dxa"/>
            <w:vAlign w:val="center"/>
          </w:tcPr>
          <w:p w14:paraId="1703EE53">
            <w:pPr>
              <w:widowControl/>
              <w:spacing w:after="0" w:line="240" w:lineRule="auto"/>
              <w:jc w:val="center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sz w:val="20"/>
                <w:szCs w:val="20"/>
              </w:rPr>
              <w:t>支原体检验</w:t>
            </w:r>
          </w:p>
        </w:tc>
        <w:tc>
          <w:tcPr>
            <w:tcW w:w="7215" w:type="dxa"/>
            <w:vAlign w:val="center"/>
          </w:tcPr>
          <w:p w14:paraId="0CDAB056">
            <w:pPr>
              <w:widowControl/>
              <w:spacing w:after="0" w:line="240" w:lineRule="auto"/>
              <w:jc w:val="both"/>
              <w:rPr>
                <w:rFonts w:ascii="Times New Roman" w:hAnsi="Times New Roman" w:eastAsia="宋体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sz w:val="20"/>
                <w:szCs w:val="20"/>
              </w:rPr>
              <w:t>阴性（√）；阳性（ ）</w:t>
            </w:r>
          </w:p>
        </w:tc>
      </w:tr>
    </w:tbl>
    <w:p w14:paraId="1A595E28">
      <w:pPr>
        <w:adjustRightInd w:val="0"/>
        <w:snapToGrid w:val="0"/>
        <w:spacing w:after="0" w:line="240" w:lineRule="auto"/>
        <w:rPr>
          <w:rFonts w:hint="eastAsia" w:ascii="黑体" w:hAnsi="黑体" w:eastAsia="黑体"/>
          <w:b/>
          <w:bCs/>
          <w:sz w:val="30"/>
          <w:szCs w:val="30"/>
        </w:rPr>
      </w:pPr>
    </w:p>
    <w:p w14:paraId="717DF12E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</w:p>
    <w:p w14:paraId="079A6AF3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二、STR鉴定</w:t>
      </w:r>
    </w:p>
    <w:p w14:paraId="4A059BDB">
      <w:pPr>
        <w:rPr>
          <w:rFonts w:hint="eastAsia" w:ascii="宋体" w:hAnsi="黑体" w:eastAsia="宋体"/>
          <w:b/>
          <w:bCs/>
          <w:sz w:val="24"/>
        </w:rPr>
      </w:pPr>
      <w:r>
        <w:rPr>
          <w:rFonts w:hint="eastAsia" w:ascii="宋体" w:hAnsi="黑体" w:eastAsia="宋体"/>
          <w:b/>
          <w:bCs/>
          <w:sz w:val="24"/>
        </w:rPr>
        <w:t>1. 材料处理和检验方法</w:t>
      </w:r>
    </w:p>
    <w:p w14:paraId="54390782">
      <w:pPr>
        <w:ind w:firstLine="400" w:firstLineChars="200"/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取适量的SW480细胞，用Axygen的基因组抽提试剂盒提取DNA，采用VeriFiler</w:t>
      </w:r>
      <w:r>
        <w:rPr>
          <w:rFonts w:hint="eastAsia" w:ascii="Times New Roman" w:hAnsi="Times New Roman" w:eastAsia="宋体"/>
          <w:sz w:val="20"/>
          <w:szCs w:val="20"/>
          <w:vertAlign w:val="superscript"/>
        </w:rPr>
        <w:t>TM</w:t>
      </w:r>
      <w:r>
        <w:rPr>
          <w:rFonts w:hint="eastAsia" w:ascii="Times New Roman" w:hAnsi="Times New Roman" w:eastAsia="宋体"/>
          <w:sz w:val="20"/>
          <w:szCs w:val="20"/>
        </w:rPr>
        <w:t xml:space="preserve"> Plus PCR Reagents扩增试剂盒扩增，在ABI 3500XL型遗传分析仪上对STR位点和性别基因Amelogenin进行检测。</w:t>
      </w:r>
    </w:p>
    <w:p w14:paraId="2AE1F619">
      <w:pPr>
        <w:rPr>
          <w:rFonts w:hint="eastAsia" w:ascii="宋体" w:hAnsi="黑体" w:eastAsia="宋体"/>
          <w:b/>
          <w:bCs/>
          <w:sz w:val="24"/>
        </w:rPr>
      </w:pPr>
      <w:r>
        <w:rPr>
          <w:rFonts w:hint="eastAsia" w:ascii="宋体" w:hAnsi="黑体" w:eastAsia="宋体"/>
          <w:b/>
          <w:bCs/>
          <w:sz w:val="24"/>
        </w:rPr>
        <w:t>2. 检验结果</w:t>
      </w:r>
    </w:p>
    <w:tbl>
      <w:tblPr>
        <w:tblStyle w:val="39"/>
        <w:tblpPr w:leftFromText="180" w:rightFromText="180" w:vertAnchor="text" w:horzAnchor="margin" w:tblpXSpec="center" w:tblpY="49"/>
        <w:tblW w:w="81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23" w:type="dxa"/>
          <w:bottom w:w="0" w:type="dxa"/>
          <w:right w:w="108" w:type="dxa"/>
        </w:tblCellMar>
      </w:tblPr>
      <w:tblGrid>
        <w:gridCol w:w="1527"/>
        <w:gridCol w:w="1387"/>
        <w:gridCol w:w="2174"/>
        <w:gridCol w:w="1430"/>
        <w:gridCol w:w="1606"/>
      </w:tblGrid>
      <w:tr w14:paraId="30996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3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7" w:type="dxa"/>
            <w:vAlign w:val="center"/>
          </w:tcPr>
          <w:p w14:paraId="39AAD7D4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kern w:val="0"/>
                <w:sz w:val="22"/>
                <w:szCs w:val="22"/>
                <w14:ligatures w14:val="none"/>
              </w:rPr>
              <w:t>多等位基因</w:t>
            </w:r>
          </w:p>
        </w:tc>
        <w:tc>
          <w:tcPr>
            <w:tcW w:w="1387" w:type="dxa"/>
            <w:vAlign w:val="center"/>
          </w:tcPr>
          <w:p w14:paraId="6A26A313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kern w:val="0"/>
                <w:sz w:val="22"/>
                <w:szCs w:val="22"/>
                <w14:ligatures w14:val="none"/>
              </w:rPr>
              <w:t>细胞库</w:t>
            </w:r>
          </w:p>
        </w:tc>
        <w:tc>
          <w:tcPr>
            <w:tcW w:w="2174" w:type="dxa"/>
            <w:vAlign w:val="center"/>
          </w:tcPr>
          <w:p w14:paraId="674AFF8B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kern w:val="0"/>
                <w:sz w:val="22"/>
                <w:szCs w:val="22"/>
                <w14:ligatures w14:val="none"/>
              </w:rPr>
              <w:t>匹配细胞系</w:t>
            </w:r>
          </w:p>
        </w:tc>
        <w:tc>
          <w:tcPr>
            <w:tcW w:w="1430" w:type="dxa"/>
            <w:vAlign w:val="center"/>
          </w:tcPr>
          <w:p w14:paraId="433A6A10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2"/>
                <w:szCs w:val="22"/>
                <w14:ligatures w14:val="none"/>
              </w:rPr>
              <w:t>相似度</w:t>
            </w:r>
          </w:p>
        </w:tc>
        <w:tc>
          <w:tcPr>
            <w:tcW w:w="1606" w:type="dxa"/>
            <w:vAlign w:val="center"/>
          </w:tcPr>
          <w:p w14:paraId="3303B73D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ascii="微软雅黑" w:hAnsi="微软雅黑" w:eastAsia="微软雅黑" w:cs="微软雅黑"/>
                <w:b/>
                <w:color w:val="000000"/>
                <w:kern w:val="0"/>
                <w:sz w:val="22"/>
                <w:szCs w:val="22"/>
                <w14:ligatures w14:val="none"/>
              </w:rPr>
              <w:t>匹配说明</w:t>
            </w:r>
          </w:p>
        </w:tc>
      </w:tr>
      <w:tr w14:paraId="02FEB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23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27" w:type="dxa"/>
            <w:vAlign w:val="center"/>
          </w:tcPr>
          <w:p w14:paraId="081D6532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2"/>
                <w:szCs w:val="22"/>
                <w14:ligatures w14:val="none"/>
              </w:rPr>
              <w:t>无</w:t>
            </w:r>
          </w:p>
        </w:tc>
        <w:tc>
          <w:tcPr>
            <w:tcW w:w="1387" w:type="dxa"/>
            <w:vAlign w:val="center"/>
          </w:tcPr>
          <w:p w14:paraId="6ABFEFAD">
            <w:pPr>
              <w:widowControl/>
              <w:spacing w:before="280" w:beforeAutospacing="1" w:after="280" w:afterAutospacing="1" w:line="240" w:lineRule="auto"/>
              <w:jc w:val="center"/>
              <w:rPr>
                <w:rFonts w:ascii="Times New Roman" w:hAnsi="Times New Roman" w:eastAsia="微软雅黑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24"/>
                <w:szCs w:val="24"/>
                <w14:ligatures w14:val="none"/>
              </w:rPr>
              <w:t>Cellosaurus</w:t>
            </w:r>
          </w:p>
        </w:tc>
        <w:tc>
          <w:tcPr>
            <w:tcW w:w="2174" w:type="dxa"/>
            <w:vAlign w:val="center"/>
          </w:tcPr>
          <w:p w14:paraId="605AA8BF">
            <w:pPr>
              <w:widowControl/>
              <w:spacing w:after="0" w:line="240" w:lineRule="auto"/>
              <w:jc w:val="center"/>
              <w:textAlignment w:val="center"/>
              <w:rPr>
                <w:rFonts w:ascii="Helvetica" w:hAnsi="Helvetica" w:eastAsia="Helvetica" w:cs="Helvetica"/>
                <w:color w:val="006EB7"/>
                <w:kern w:val="0"/>
                <w:sz w:val="22"/>
                <w:szCs w:val="22"/>
                <w14:ligatures w14:val="none"/>
              </w:rPr>
            </w:pPr>
            <w:r>
              <w:rPr>
                <w:rFonts w:hint="eastAsia" w:ascii="Times New Roman" w:hAnsi="Times New Roman" w:eastAsia="微软雅黑" w:cs="Times New Roman"/>
                <w:kern w:val="0"/>
                <w:sz w:val="24"/>
                <w:szCs w:val="24"/>
                <w14:ligatures w14:val="none"/>
              </w:rPr>
              <w:t>SW480</w:t>
            </w:r>
          </w:p>
        </w:tc>
        <w:tc>
          <w:tcPr>
            <w:tcW w:w="1430" w:type="dxa"/>
            <w:vAlign w:val="center"/>
          </w:tcPr>
          <w:p w14:paraId="11088C9E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14:ligatures w14:val="none"/>
              </w:rPr>
              <w:t>100%</w:t>
            </w:r>
          </w:p>
        </w:tc>
        <w:tc>
          <w:tcPr>
            <w:tcW w:w="1606" w:type="dxa"/>
            <w:vAlign w:val="center"/>
          </w:tcPr>
          <w:p w14:paraId="10074C16">
            <w:pPr>
              <w:widowControl/>
              <w:spacing w:before="280" w:beforeAutospacing="1" w:after="280" w:afterAutospacing="1" w:line="24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2"/>
                <w:szCs w:val="22"/>
                <w14:ligatures w14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14:ligatures w14:val="none"/>
              </w:rPr>
              <w:t>完全</w:t>
            </w:r>
            <w:r>
              <w:rPr>
                <w:rFonts w:ascii="微软雅黑" w:hAnsi="微软雅黑" w:eastAsia="微软雅黑" w:cs="微软雅黑"/>
                <w:kern w:val="0"/>
                <w:sz w:val="24"/>
                <w:szCs w:val="24"/>
                <w14:ligatures w14:val="none"/>
              </w:rPr>
              <w:t>匹配</w:t>
            </w:r>
          </w:p>
        </w:tc>
      </w:tr>
    </w:tbl>
    <w:tbl>
      <w:tblPr>
        <w:tblStyle w:val="41"/>
        <w:tblpPr w:leftFromText="180" w:rightFromText="180" w:vertAnchor="text" w:horzAnchor="margin" w:tblpY="1833"/>
        <w:tblW w:w="5010" w:type="pct"/>
        <w:tblInd w:w="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606"/>
        <w:gridCol w:w="1654"/>
        <w:gridCol w:w="1732"/>
        <w:gridCol w:w="1793"/>
      </w:tblGrid>
      <w:tr w14:paraId="799A8A7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vMerge w:val="restar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106E9A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Loci</w:t>
            </w:r>
          </w:p>
        </w:tc>
        <w:tc>
          <w:tcPr>
            <w:tcW w:w="1961" w:type="pct"/>
            <w:gridSpan w:val="2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13EF00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送检细胞STR信息</w:t>
            </w:r>
          </w:p>
        </w:tc>
        <w:tc>
          <w:tcPr>
            <w:tcW w:w="2120" w:type="pct"/>
            <w:gridSpan w:val="2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68C25F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细胞库细胞STR信息</w:t>
            </w:r>
          </w:p>
        </w:tc>
      </w:tr>
      <w:tr w14:paraId="7AC7C7A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vMerge w:val="continue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8BEE78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961" w:type="pct"/>
            <w:gridSpan w:val="2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EC5CA7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样品编号：M</w:t>
            </w:r>
          </w:p>
        </w:tc>
        <w:tc>
          <w:tcPr>
            <w:tcW w:w="2120" w:type="pct"/>
            <w:gridSpan w:val="2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4F5F51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细胞库细胞名：SW480</w:t>
            </w:r>
          </w:p>
        </w:tc>
      </w:tr>
      <w:tr w14:paraId="18A39EE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vMerge w:val="continue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D43EF4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23FF9F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Allele1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B65843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Allele2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408F46F8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Allele1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3A2690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Allele2</w:t>
            </w:r>
          </w:p>
        </w:tc>
      </w:tr>
      <w:tr w14:paraId="31A2E52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8133B8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D5S818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4DFE52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C665EE8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0E53D967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1C80635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14:paraId="1509328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13E41CA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D13S317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C6ED1C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273832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447A8B2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C38AB1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</w:tr>
      <w:tr w14:paraId="7D54BAF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CE356D5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D7S820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886E64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A3DBEE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3DD2C20C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96B1D6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</w:tr>
      <w:tr w14:paraId="29E590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6962DF7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D16S539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A6E1D18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D5EFCA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30108CA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5F1D78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14:paraId="26220CC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6E2D5FA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vWA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737C7F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2000B88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76C712F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E30185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</w:tr>
      <w:tr w14:paraId="71D6ACB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3512C5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TH01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C1E338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DACD2C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3A1E5D3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9EA6FFA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</w:tr>
      <w:tr w14:paraId="14FEFD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3AD2C6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TPOX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58DDE6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E9A3E4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1E552036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2C18458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</w:tr>
      <w:tr w14:paraId="377D017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55BBFE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CSF1PO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BDCA766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B0EE8A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65FFCDB1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182F1A5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</w:tr>
      <w:tr w14:paraId="31B3FB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1ADE06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AMEL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6860B9C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F782AC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300CE1B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X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93CEF4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X</w:t>
            </w:r>
          </w:p>
        </w:tc>
      </w:tr>
      <w:tr w14:paraId="341B1AE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0B93C07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D3S1358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D40CA96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9A8A17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55489081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BDC7902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</w:tr>
      <w:tr w14:paraId="537E87C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EE37C8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D21S11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82C85B5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F123B9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30.2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298594C2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4A89C3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30.2</w:t>
            </w:r>
          </w:p>
        </w:tc>
      </w:tr>
      <w:tr w14:paraId="57469BA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82AEEC6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D18S51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216FED7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273B60F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2C02A111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BE9E6C2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14:paraId="6E8718A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ACE6D8C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Penta E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C4D74D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287516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4C4B211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941DB4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</w:tr>
      <w:tr w14:paraId="56A1703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FC985E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Penta D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123A50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F7F8FE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6BC17DB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901D6FC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</w:tr>
      <w:tr w14:paraId="0B3352C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A5AD2C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D8S1179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9544214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077DECC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61AAF04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75D1C303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14:paraId="21520B0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4AFAC24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FGA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10FCFE6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4B8ADFA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4BF733A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58458D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</w:tr>
      <w:tr w14:paraId="5AA6F2D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37DBEDE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D19S433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A1034BF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AC46506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2B643E4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FB6960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</w:tr>
      <w:tr w14:paraId="6FA35B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919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51BE3F6D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D2S1338</w:t>
            </w:r>
          </w:p>
        </w:tc>
        <w:tc>
          <w:tcPr>
            <w:tcW w:w="966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0A9409F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995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6C4F52F9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  <w:tc>
          <w:tcPr>
            <w:tcW w:w="1042" w:type="pct"/>
            <w:tcBorders>
              <w:top w:val="single" w:color="404040" w:sz="4" w:space="0"/>
              <w:left w:val="single" w:color="404040" w:sz="4" w:space="0"/>
              <w:bottom w:val="single" w:color="404040" w:sz="4" w:space="0"/>
              <w:right w:val="single" w:color="auto" w:sz="4" w:space="0"/>
            </w:tcBorders>
            <w:vAlign w:val="center"/>
          </w:tcPr>
          <w:p w14:paraId="3A2EF92B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1078" w:type="pct"/>
            <w:tcBorders>
              <w:top w:val="single" w:color="404040" w:sz="4" w:space="0"/>
              <w:left w:val="single" w:color="auto" w:sz="4" w:space="0"/>
              <w:bottom w:val="single" w:color="404040" w:sz="4" w:space="0"/>
              <w:right w:val="single" w:color="404040" w:sz="4" w:space="0"/>
            </w:tcBorders>
            <w:vAlign w:val="center"/>
          </w:tcPr>
          <w:p w14:paraId="3719B0E0">
            <w:pPr>
              <w:widowControl/>
              <w:spacing w:before="280" w:beforeAutospacing="1" w:after="280" w:afterAutospacing="1" w:line="276" w:lineRule="auto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  <w:t>24</w:t>
            </w:r>
          </w:p>
        </w:tc>
      </w:tr>
    </w:tbl>
    <w:p w14:paraId="63540447">
      <w:pPr>
        <w:widowControl/>
        <w:adjustRightInd w:val="0"/>
        <w:snapToGrid w:val="0"/>
        <w:spacing w:before="160" w:line="240" w:lineRule="auto"/>
        <w:rPr>
          <w:rFonts w:ascii="Times New Roman" w:hAnsi="Times New Roman" w:eastAsia="宋体"/>
          <w:b/>
          <w:bCs/>
          <w:sz w:val="24"/>
        </w:rPr>
      </w:pPr>
      <w:r>
        <w:rPr>
          <w:rFonts w:hint="eastAsia" w:ascii="Times New Roman" w:hAnsi="Times New Roman" w:eastAsia="宋体"/>
          <w:b/>
          <w:bCs/>
          <w:sz w:val="24"/>
        </w:rPr>
        <w:t>STR位点信息：</w:t>
      </w:r>
    </w:p>
    <w:p w14:paraId="006AB08F">
      <w:pPr>
        <w:widowControl/>
        <w:adjustRightInd w:val="0"/>
        <w:snapToGrid w:val="0"/>
        <w:spacing w:before="160" w:line="240" w:lineRule="auto"/>
        <w:rPr>
          <w:rFonts w:ascii="Times New Roman" w:hAnsi="Times New Roman" w:eastAsia="宋体"/>
          <w:b/>
          <w:bCs/>
          <w:sz w:val="24"/>
        </w:rPr>
      </w:pPr>
    </w:p>
    <w:p w14:paraId="55EB43F5">
      <w:pPr>
        <w:spacing w:after="0"/>
        <w:ind w:right="-1198"/>
        <w:rPr>
          <w:rFonts w:hint="eastAsia"/>
        </w:rPr>
      </w:pPr>
      <w:r>
        <w:rPr>
          <w:rFonts w:hint="eastAsia" w:ascii="Times New Roman" w:hAnsi="Times New Roman" w:eastAsia="宋体"/>
          <w:b/>
          <w:bCs/>
          <w:sz w:val="24"/>
        </w:rPr>
        <w:t>STR分型图谱：</w:t>
      </w:r>
      <w:r>
        <w:drawing>
          <wp:inline distT="0" distB="0" distL="0" distR="0">
            <wp:extent cx="5622925" cy="7764780"/>
            <wp:effectExtent l="0" t="0" r="0" b="7620"/>
            <wp:docPr id="11440" name="Picture 11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" name="Picture 114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3200" cy="77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AE65"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28E4A22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三、处理方式</w:t>
      </w:r>
    </w:p>
    <w:p w14:paraId="07BED47E">
      <w:pPr>
        <w:adjustRightInd w:val="0"/>
        <w:snapToGrid w:val="0"/>
        <w:spacing w:before="156" w:beforeLines="50" w:after="156" w:afterLines="50" w:line="30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常温细胞处理方法</w:t>
      </w:r>
      <w:r>
        <w:rPr>
          <w:rFonts w:hint="eastAsia" w:ascii="宋体" w:hAnsi="宋体" w:eastAsia="宋体"/>
          <w:sz w:val="24"/>
        </w:rPr>
        <w:t>：</w:t>
      </w:r>
    </w:p>
    <w:p w14:paraId="3EEAACF5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1、收到常温细胞后，及时拍照并记录有无漏液、瓶身破损现象；</w:t>
      </w:r>
    </w:p>
    <w:p w14:paraId="4BF9FBE9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2、用75%酒精擦拭细胞培养瓶表面，在显微镜下观察细胞状态。先不打开培养瓶盖，将细胞置于细胞培养箱内平衡复温2-4小时，稳定细胞状态；</w:t>
      </w:r>
    </w:p>
    <w:p w14:paraId="5041E95E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3、细胞稳定后，仔细阅读本说明书，了解细胞生长特性、培养体系、冻存条件、传代步骤等相关信息；</w:t>
      </w:r>
    </w:p>
    <w:p w14:paraId="0BA29F2E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4、吸走大部分培养基离心备用，留10-12 ml培养基，拍照并观察细胞。若细胞密度高于80%，可吸走培养基进行传代；若密度低于80%，则留10-12 ml继续培养至密度高于80%后再传代；</w:t>
      </w:r>
    </w:p>
    <w:p w14:paraId="78C16DFE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5、T25瓶首次传代建议按1:2比例进行，即1个T25瓶传为2瓶。</w:t>
      </w:r>
    </w:p>
    <w:p w14:paraId="2FA591A6">
      <w:pPr>
        <w:adjustRightInd w:val="0"/>
        <w:snapToGrid w:val="0"/>
        <w:spacing w:before="156" w:beforeLines="50" w:after="156" w:afterLines="50" w:line="30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b/>
          <w:bCs/>
          <w:sz w:val="24"/>
        </w:rPr>
        <w:t>冻存细胞处理方法</w:t>
      </w:r>
      <w:r>
        <w:rPr>
          <w:rFonts w:hint="eastAsia" w:ascii="宋体" w:hAnsi="宋体" w:eastAsia="宋体"/>
          <w:sz w:val="24"/>
        </w:rPr>
        <w:t>：</w:t>
      </w:r>
    </w:p>
    <w:p w14:paraId="7DD16830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1、收到细胞后，开箱拍照，将冻存管置于冰上核对细胞信息，同时观察冻存管是否完好、有无解冻情况；</w:t>
      </w:r>
    </w:p>
    <w:p w14:paraId="6597064D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2、若收到细胞当天不复苏，需及时将细胞转移至液氮罐（过程需迅速，避免细胞离开低温区域）；若无液氮罐，可短时间保存在- 80℃冰箱，长期保存仍需置于液氮罐；</w:t>
      </w:r>
    </w:p>
    <w:p w14:paraId="6DD9A464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3、提前准备适合该细胞生长的培养基，从冰箱取出后需恢复至室温再使用；</w:t>
      </w:r>
    </w:p>
    <w:p w14:paraId="51848A29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4、复苏1管至1个T25瓶或6 cm培养皿中。复苏后可取少量细胞计数并检测活力。</w:t>
      </w:r>
    </w:p>
    <w:p w14:paraId="64B52E38">
      <w:pPr>
        <w:jc w:val="both"/>
        <w:rPr>
          <w:rFonts w:ascii="Times New Roman" w:hAnsi="Times New Roman" w:eastAsia="宋体"/>
          <w:sz w:val="20"/>
          <w:szCs w:val="20"/>
        </w:rPr>
      </w:pPr>
    </w:p>
    <w:p w14:paraId="15BB06B1">
      <w:pPr>
        <w:adjustRightInd w:val="0"/>
        <w:snapToGrid w:val="0"/>
        <w:spacing w:before="156" w:beforeLines="50" w:after="156" w:afterLines="50" w:line="300" w:lineRule="auto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sym w:font="Wingdings" w:char="F0AB"/>
      </w:r>
      <w:r>
        <w:rPr>
          <w:rFonts w:hint="eastAsia" w:ascii="宋体" w:hAnsi="宋体" w:eastAsia="宋体"/>
          <w:sz w:val="24"/>
        </w:rPr>
        <w:t xml:space="preserve"> </w:t>
      </w:r>
      <w:r>
        <w:rPr>
          <w:rFonts w:hint="eastAsia" w:ascii="宋体" w:hAnsi="宋体" w:eastAsia="宋体"/>
          <w:b/>
          <w:bCs/>
          <w:sz w:val="24"/>
        </w:rPr>
        <w:t>注意事项</w:t>
      </w:r>
      <w:r>
        <w:rPr>
          <w:rFonts w:hint="eastAsia" w:ascii="宋体" w:hAnsi="宋体" w:eastAsia="宋体"/>
          <w:sz w:val="24"/>
        </w:rPr>
        <w:t>：</w:t>
      </w:r>
    </w:p>
    <w:p w14:paraId="42FC80CD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1、若培养瓶或冻存管出现破损、漏液，及时拍照联系销售反馈，按指导处理；仅外包装破损一般不影响使用；</w:t>
      </w:r>
    </w:p>
    <w:p w14:paraId="6BE623C5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2、细胞增殖较快，发货细胞量较多时培养基可能变黄。使用此类培养基时，需及时观察颜色变化，缩短换液周期，每瓶多加2-3 ml培养基；</w:t>
      </w:r>
    </w:p>
    <w:p w14:paraId="76F71A99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3、若无法观察到细胞，建议收集培养基，1200rpm离心5分钟，观察细胞沉淀量，并用少量培养基重悬沉淀，取部分悬液至计数板或载玻片观察；</w:t>
      </w:r>
    </w:p>
    <w:p w14:paraId="00C45E4A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4、本公司提供细胞株技术服务及相应费用，提供完善技术支持和售后服务，收到产品后的处理方式及售后条款参见《细胞售后条例》。</w:t>
      </w:r>
    </w:p>
    <w:p w14:paraId="0861F65B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四、细胞复苏</w:t>
      </w:r>
    </w:p>
    <w:p w14:paraId="3134C0C0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1、将水浴锅预热至37℃，在无菌离心管中提前加入4 ml培养基待用；</w:t>
      </w:r>
    </w:p>
    <w:p w14:paraId="4FD353DD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2、从液氮罐或-80℃冰箱中取出需复苏的细胞，将细胞冻存管迅速没入水浴锅，摇晃冻存管加速溶解，溶解时间约1-2分钟；</w:t>
      </w:r>
    </w:p>
    <w:p w14:paraId="794519C3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3、在超净台中将融化的细胞悬液加入装有4 ml培养基的离心管，1000 rpm（约300 g离心力）离心5分钟，弃上清；</w:t>
      </w:r>
    </w:p>
    <w:p w14:paraId="6AFA5981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4、用适量完全培养基重悬细胞，转移至T25细胞培养瓶，补充培养基至5 ml，放入培养箱培养，第二天观察细胞状态和密度。</w:t>
      </w:r>
    </w:p>
    <w:p w14:paraId="214899E2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五、细胞传代</w:t>
      </w:r>
    </w:p>
    <w:p w14:paraId="79443BDB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sz w:val="20"/>
          <w:szCs w:val="20"/>
        </w:rPr>
        <w:t>当细胞密度大于80%时即可进行传代培养，步骤如下：</w:t>
      </w:r>
    </w:p>
    <w:p w14:paraId="49B928B5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</w:t>
      </w:r>
      <w:r>
        <w:rPr>
          <w:rFonts w:ascii="Times New Roman" w:hAnsi="Times New Roman" w:eastAsia="宋体"/>
          <w:sz w:val="20"/>
          <w:szCs w:val="20"/>
        </w:rPr>
        <w:t>尽量吸净T25瓶中的原培养基；</w:t>
      </w:r>
    </w:p>
    <w:p w14:paraId="5F5B942C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</w:t>
      </w:r>
      <w:r>
        <w:rPr>
          <w:rFonts w:ascii="Times New Roman" w:hAnsi="Times New Roman" w:eastAsia="宋体"/>
          <w:sz w:val="20"/>
          <w:szCs w:val="20"/>
        </w:rPr>
        <w:t>加入3-4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ml常温不含钙、镁离子的PBS，轻轻润洗细胞1-2次后吸走PBS；</w:t>
      </w:r>
    </w:p>
    <w:p w14:paraId="575055D1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</w:t>
      </w:r>
      <w:r>
        <w:rPr>
          <w:rFonts w:ascii="Times New Roman" w:hAnsi="Times New Roman" w:eastAsia="宋体"/>
          <w:sz w:val="20"/>
          <w:szCs w:val="20"/>
        </w:rPr>
        <w:t>向T25瓶中加入1</w:t>
      </w:r>
      <w:r>
        <w:rPr>
          <w:rFonts w:hint="eastAsia" w:ascii="Times New Roman" w:hAnsi="Times New Roman" w:eastAsia="宋体"/>
          <w:sz w:val="20"/>
          <w:szCs w:val="20"/>
        </w:rPr>
        <w:t xml:space="preserve"> </w:t>
      </w:r>
      <w:r>
        <w:rPr>
          <w:rFonts w:ascii="Times New Roman" w:hAnsi="Times New Roman" w:eastAsia="宋体"/>
          <w:sz w:val="20"/>
          <w:szCs w:val="20"/>
        </w:rPr>
        <w:t>ml含EDTA的胰酶，轻轻晃动培养瓶，使胰酶均匀</w:t>
      </w:r>
      <w:r>
        <w:rPr>
          <w:rFonts w:hint="eastAsia" w:ascii="Times New Roman" w:hAnsi="Times New Roman" w:eastAsia="宋体"/>
          <w:sz w:val="20"/>
          <w:szCs w:val="20"/>
        </w:rPr>
        <w:t>分布于</w:t>
      </w:r>
      <w:r>
        <w:rPr>
          <w:rFonts w:ascii="Times New Roman" w:hAnsi="Times New Roman" w:eastAsia="宋体"/>
          <w:sz w:val="20"/>
          <w:szCs w:val="20"/>
        </w:rPr>
        <w:t>瓶底细胞层；</w:t>
      </w:r>
    </w:p>
    <w:p w14:paraId="3FF91A1A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</w:t>
      </w:r>
      <w:r>
        <w:rPr>
          <w:rFonts w:ascii="Times New Roman" w:hAnsi="Times New Roman" w:eastAsia="宋体"/>
          <w:sz w:val="20"/>
          <w:szCs w:val="20"/>
        </w:rPr>
        <w:t>将培养瓶放入37℃培养箱消化；</w:t>
      </w:r>
    </w:p>
    <w:p w14:paraId="526B35DB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5、</w:t>
      </w:r>
      <w:r>
        <w:rPr>
          <w:rFonts w:ascii="Times New Roman" w:hAnsi="Times New Roman" w:eastAsia="宋体"/>
          <w:sz w:val="20"/>
          <w:szCs w:val="20"/>
        </w:rPr>
        <w:t>待细胞</w:t>
      </w:r>
      <w:r>
        <w:rPr>
          <w:rFonts w:hint="eastAsia" w:ascii="Times New Roman" w:hAnsi="Times New Roman" w:eastAsia="宋体"/>
          <w:sz w:val="20"/>
          <w:szCs w:val="20"/>
        </w:rPr>
        <w:t>变圆并开始脱落时</w:t>
      </w:r>
      <w:r>
        <w:rPr>
          <w:rFonts w:ascii="Times New Roman" w:hAnsi="Times New Roman" w:eastAsia="宋体"/>
          <w:sz w:val="20"/>
          <w:szCs w:val="20"/>
        </w:rPr>
        <w:t>，加入</w:t>
      </w:r>
      <w:r>
        <w:rPr>
          <w:rFonts w:hint="eastAsia" w:ascii="Times New Roman" w:hAnsi="Times New Roman" w:eastAsia="宋体"/>
          <w:sz w:val="20"/>
          <w:szCs w:val="20"/>
        </w:rPr>
        <w:t xml:space="preserve">1 </w:t>
      </w:r>
      <w:r>
        <w:rPr>
          <w:rFonts w:ascii="Times New Roman" w:hAnsi="Times New Roman" w:eastAsia="宋体"/>
          <w:sz w:val="20"/>
          <w:szCs w:val="20"/>
        </w:rPr>
        <w:t>ml完全培养基终止消化；</w:t>
      </w:r>
    </w:p>
    <w:p w14:paraId="75FDE74D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6、</w:t>
      </w:r>
      <w:r>
        <w:rPr>
          <w:rFonts w:ascii="Times New Roman" w:hAnsi="Times New Roman" w:eastAsia="宋体"/>
          <w:sz w:val="20"/>
          <w:szCs w:val="20"/>
        </w:rPr>
        <w:t>轻轻吹打</w:t>
      </w:r>
      <w:r>
        <w:rPr>
          <w:rFonts w:hint="eastAsia" w:ascii="Times New Roman" w:hAnsi="Times New Roman" w:eastAsia="宋体"/>
          <w:sz w:val="20"/>
          <w:szCs w:val="20"/>
        </w:rPr>
        <w:t>使</w:t>
      </w:r>
      <w:r>
        <w:rPr>
          <w:rFonts w:ascii="Times New Roman" w:hAnsi="Times New Roman" w:eastAsia="宋体"/>
          <w:sz w:val="20"/>
          <w:szCs w:val="20"/>
        </w:rPr>
        <w:t>细胞</w:t>
      </w:r>
      <w:r>
        <w:rPr>
          <w:rFonts w:hint="eastAsia" w:ascii="Times New Roman" w:hAnsi="Times New Roman" w:eastAsia="宋体"/>
          <w:sz w:val="20"/>
          <w:szCs w:val="20"/>
        </w:rPr>
        <w:t>脱落</w:t>
      </w:r>
      <w:r>
        <w:rPr>
          <w:rFonts w:ascii="Times New Roman" w:hAnsi="Times New Roman" w:eastAsia="宋体"/>
          <w:sz w:val="20"/>
          <w:szCs w:val="20"/>
        </w:rPr>
        <w:t>，</w:t>
      </w:r>
      <w:r>
        <w:rPr>
          <w:rFonts w:hint="eastAsia" w:ascii="Times New Roman" w:hAnsi="Times New Roman" w:eastAsia="宋体"/>
          <w:sz w:val="20"/>
          <w:szCs w:val="20"/>
        </w:rPr>
        <w:t>转移至无菌的5 ml离心管，</w:t>
      </w:r>
      <w:r>
        <w:rPr>
          <w:rFonts w:ascii="Times New Roman" w:hAnsi="Times New Roman" w:eastAsia="宋体"/>
          <w:sz w:val="20"/>
          <w:szCs w:val="20"/>
        </w:rPr>
        <w:t>1000rpm离心5分钟，弃上清；</w:t>
      </w:r>
    </w:p>
    <w:p w14:paraId="289F5F86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7、</w:t>
      </w:r>
      <w:r>
        <w:rPr>
          <w:rFonts w:ascii="Times New Roman" w:hAnsi="Times New Roman" w:eastAsia="宋体"/>
          <w:sz w:val="20"/>
          <w:szCs w:val="20"/>
        </w:rPr>
        <w:t>加入新的完全培养基轻轻重悬细胞，</w:t>
      </w:r>
      <w:r>
        <w:rPr>
          <w:rFonts w:hint="eastAsia" w:ascii="Times New Roman" w:hAnsi="Times New Roman" w:eastAsia="宋体"/>
          <w:sz w:val="20"/>
          <w:szCs w:val="20"/>
        </w:rPr>
        <w:t>将细胞转移到</w:t>
      </w:r>
      <w:r>
        <w:rPr>
          <w:rFonts w:ascii="Times New Roman" w:hAnsi="Times New Roman" w:eastAsia="宋体"/>
          <w:sz w:val="20"/>
          <w:szCs w:val="20"/>
        </w:rPr>
        <w:t>新的培养瓶中</w:t>
      </w:r>
      <w:r>
        <w:rPr>
          <w:rFonts w:hint="eastAsia" w:ascii="Times New Roman" w:hAnsi="Times New Roman" w:eastAsia="宋体"/>
          <w:sz w:val="20"/>
          <w:szCs w:val="20"/>
        </w:rPr>
        <w:t>并摇匀，加入5 ml完全培养基培养</w:t>
      </w:r>
      <w:r>
        <w:rPr>
          <w:rFonts w:ascii="Times New Roman" w:hAnsi="Times New Roman" w:eastAsia="宋体"/>
          <w:sz w:val="20"/>
          <w:szCs w:val="20"/>
        </w:rPr>
        <w:t>；</w:t>
      </w:r>
    </w:p>
    <w:p w14:paraId="0520568C">
      <w:pPr>
        <w:jc w:val="both"/>
        <w:rPr>
          <w:rFonts w:ascii="Times New Roman" w:hAnsi="Times New Roman" w:eastAsia="宋体"/>
          <w:sz w:val="20"/>
          <w:szCs w:val="20"/>
        </w:rPr>
      </w:pPr>
    </w:p>
    <w:p w14:paraId="44A4FB8C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b/>
          <w:bCs/>
          <w:sz w:val="20"/>
          <w:szCs w:val="20"/>
        </w:rPr>
        <w:t>消化时间</w:t>
      </w:r>
      <w:r>
        <w:rPr>
          <w:rFonts w:ascii="Times New Roman" w:hAnsi="Times New Roman" w:eastAsia="宋体"/>
          <w:sz w:val="20"/>
          <w:szCs w:val="20"/>
        </w:rPr>
        <w:t>：不同品牌胰酶消化时间不同，需注意控制</w:t>
      </w:r>
    </w:p>
    <w:p w14:paraId="0852F6AA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b/>
          <w:bCs/>
          <w:sz w:val="20"/>
          <w:szCs w:val="20"/>
        </w:rPr>
        <w:t>传代比例</w:t>
      </w:r>
      <w:r>
        <w:rPr>
          <w:rFonts w:ascii="Times New Roman" w:hAnsi="Times New Roman" w:eastAsia="宋体"/>
          <w:sz w:val="20"/>
          <w:szCs w:val="20"/>
        </w:rPr>
        <w:t>：1:2-1:4（具体根据细胞生长速度及密度调整）</w:t>
      </w:r>
    </w:p>
    <w:p w14:paraId="71CD9233">
      <w:pPr>
        <w:jc w:val="both"/>
        <w:rPr>
          <w:rFonts w:ascii="Times New Roman" w:hAnsi="Times New Roman" w:eastAsia="宋体"/>
          <w:sz w:val="20"/>
          <w:szCs w:val="20"/>
        </w:rPr>
      </w:pPr>
      <w:r>
        <w:rPr>
          <w:rFonts w:ascii="Times New Roman" w:hAnsi="Times New Roman" w:eastAsia="宋体"/>
          <w:b/>
          <w:bCs/>
          <w:sz w:val="20"/>
          <w:szCs w:val="20"/>
        </w:rPr>
        <w:t>换液频次</w:t>
      </w:r>
      <w:r>
        <w:rPr>
          <w:rFonts w:ascii="Times New Roman" w:hAnsi="Times New Roman" w:eastAsia="宋体"/>
          <w:sz w:val="20"/>
          <w:szCs w:val="20"/>
        </w:rPr>
        <w:t>：</w:t>
      </w:r>
      <w:r>
        <w:rPr>
          <w:rFonts w:hint="eastAsia" w:ascii="Times New Roman" w:hAnsi="Times New Roman" w:eastAsia="宋体"/>
          <w:sz w:val="20"/>
          <w:szCs w:val="20"/>
        </w:rPr>
        <w:t>2-3</w:t>
      </w:r>
      <w:r>
        <w:rPr>
          <w:rFonts w:ascii="Times New Roman" w:hAnsi="Times New Roman" w:eastAsia="宋体"/>
          <w:sz w:val="20"/>
          <w:szCs w:val="20"/>
        </w:rPr>
        <w:t>天</w:t>
      </w:r>
    </w:p>
    <w:p w14:paraId="766EA270">
      <w:pPr>
        <w:adjustRightInd w:val="0"/>
        <w:snapToGrid w:val="0"/>
        <w:spacing w:line="300" w:lineRule="auto"/>
        <w:jc w:val="both"/>
        <w:rPr>
          <w:rFonts w:ascii="Times New Roman" w:hAnsi="Times New Roman" w:eastAsia="宋体"/>
        </w:rPr>
      </w:pPr>
    </w:p>
    <w:p w14:paraId="0D5AA2E5">
      <w:pPr>
        <w:adjustRightInd w:val="0"/>
        <w:snapToGrid w:val="0"/>
        <w:spacing w:line="300" w:lineRule="auto"/>
        <w:jc w:val="both"/>
        <w:rPr>
          <w:rFonts w:ascii="Times New Roman" w:hAnsi="Times New Roman" w:eastAsia="宋体"/>
        </w:rPr>
      </w:pPr>
    </w:p>
    <w:p w14:paraId="6927D693">
      <w:pPr>
        <w:adjustRightInd w:val="0"/>
        <w:snapToGrid w:val="0"/>
        <w:spacing w:line="300" w:lineRule="auto"/>
        <w:jc w:val="both"/>
        <w:rPr>
          <w:rFonts w:ascii="Times New Roman" w:hAnsi="Times New Roman" w:eastAsia="宋体"/>
        </w:rPr>
      </w:pPr>
    </w:p>
    <w:p w14:paraId="385FA5C3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</w:p>
    <w:p w14:paraId="4866F3F2">
      <w:pPr>
        <w:adjustRightInd w:val="0"/>
        <w:snapToGrid w:val="0"/>
        <w:spacing w:before="156" w:beforeLines="50" w:after="156" w:afterLines="50" w:line="240" w:lineRule="auto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</w:t>
      </w:r>
      <w:r>
        <w:rPr>
          <w:rFonts w:ascii="黑体" w:hAnsi="黑体" w:eastAsia="黑体"/>
          <w:sz w:val="28"/>
          <w:szCs w:val="28"/>
        </w:rPr>
        <w:t>细胞售后条例</w:t>
      </w:r>
    </w:p>
    <w:p w14:paraId="30A9570B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1、购买的冻存细胞发2管，先复苏第一管，再视情况复苏第二管；</w:t>
      </w:r>
    </w:p>
    <w:p w14:paraId="6B7D0973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2、复苏第一管出现问题，联系我方分析原因并指导复苏第二管；在技术支持下仍无法存活的，可重发常温细胞；重发冻存细胞需加收干冰费用（需及时拍照反馈）；</w:t>
      </w:r>
    </w:p>
    <w:p w14:paraId="36E0736B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3、冻存细胞发货2支为同一批次，一管复苏成功另一管失败的，不予重发；</w:t>
      </w:r>
    </w:p>
    <w:p w14:paraId="5BB8A669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4、收到冻存细胞复苏后状态良好，但因用户自身操作导致细胞污染、状态不佳、冻存后复苏失败的，不予免费重发；</w:t>
      </w:r>
    </w:p>
    <w:p w14:paraId="55D5027A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5、细胞运输途中出现冻存管破损、融化等问题，予以重发（需及时拍照反馈）；</w:t>
      </w:r>
    </w:p>
    <w:p w14:paraId="67CCF795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6、因外源试剂导致细胞培养出现问题或污染的，不予重发；</w:t>
      </w:r>
    </w:p>
    <w:p w14:paraId="3D42F33C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7、细胞复苏和培养过程中出现问题，反馈不及时（默认收到细胞后一周内无反馈）且无法提供复苏后状态图片的，不予免费重发；</w:t>
      </w:r>
    </w:p>
    <w:p w14:paraId="4C7A120C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8、非细胞出厂质量问题，因客户自身操作导致细胞死亡的，自收货日起一个月内可申请低价二次购买折扣（原代细胞除外）；</w:t>
      </w:r>
    </w:p>
    <w:p w14:paraId="02133A9E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9、细胞相关实验受培养基及血清品牌、操作习惯、培养瓶品牌等多种因素影响，因非细胞鉴定问题导致实验数据不理想的，不予退换细胞；</w:t>
      </w:r>
    </w:p>
    <w:p w14:paraId="36BC7439">
      <w:pPr>
        <w:rPr>
          <w:rFonts w:ascii="Times New Roman" w:hAnsi="Times New Roman" w:eastAsia="宋体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10、细胞系与对应专用培养基一起购买的，自收货日起一个月内可享受无条件售后（原代细胞不参与）；</w:t>
      </w:r>
    </w:p>
    <w:p w14:paraId="76C38AB8">
      <w:pPr>
        <w:rPr>
          <w:rFonts w:hint="eastAsia"/>
          <w:sz w:val="20"/>
          <w:szCs w:val="20"/>
        </w:rPr>
      </w:pPr>
      <w:r>
        <w:rPr>
          <w:rFonts w:hint="eastAsia" w:ascii="Times New Roman" w:hAnsi="Times New Roman" w:eastAsia="宋体"/>
          <w:sz w:val="20"/>
          <w:szCs w:val="20"/>
        </w:rPr>
        <w:t>11、请保留细胞 / 培养基标签上的二维码，需售后或技术支持时可联系相关二维码。</w:t>
      </w:r>
    </w:p>
    <w:p w14:paraId="46ADA7C9">
      <w:pPr>
        <w:rPr>
          <w:rFonts w:hint="eastAsia"/>
        </w:rPr>
      </w:pPr>
      <w:r>
        <w:rPr>
          <w:rFonts w:ascii="Times New Roman" w:hAnsi="Times New Roman" w:eastAsia="宋体" w:cs="Times New Roma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243205</wp:posOffset>
            </wp:positionV>
            <wp:extent cx="1092200" cy="996950"/>
            <wp:effectExtent l="0" t="0" r="0" b="0"/>
            <wp:wrapThrough wrapText="bothSides">
              <wp:wrapPolygon>
                <wp:start x="0" y="0"/>
                <wp:lineTo x="0" y="21050"/>
                <wp:lineTo x="21098" y="21050"/>
                <wp:lineTo x="21098" y="0"/>
                <wp:lineTo x="0" y="0"/>
              </wp:wrapPolygon>
            </wp:wrapThrough>
            <wp:docPr id="14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99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A9613">
      <w:pPr>
        <w:rPr>
          <w:rFonts w:hint="eastAsia"/>
        </w:rPr>
      </w:pPr>
    </w:p>
    <w:p w14:paraId="242C1864">
      <w:pPr>
        <w:rPr>
          <w:rFonts w:hint="eastAsia"/>
        </w:rPr>
      </w:pPr>
    </w:p>
    <w:p w14:paraId="4AB084BA">
      <w:pPr>
        <w:rPr>
          <w:rFonts w:hint="eastAsia"/>
        </w:rPr>
      </w:pPr>
    </w:p>
    <w:p w14:paraId="70E0A996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公众号获取更多资讯</w:t>
      </w:r>
    </w:p>
    <w:p w14:paraId="75D6CD69">
      <w:pPr>
        <w:rPr>
          <w:rFonts w:hint="default" w:eastAsiaTheme="minor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</w:rPr>
        <w:t>公司电话：</w:t>
      </w:r>
      <w:r>
        <w:rPr>
          <w:sz w:val="18"/>
          <w:szCs w:val="18"/>
        </w:rPr>
        <w:t>13267055948</w:t>
      </w:r>
      <w:r>
        <w:rPr>
          <w:sz w:val="18"/>
          <w:szCs w:val="18"/>
        </w:rPr>
        <w:br w:type="textWrapping"/>
      </w:r>
      <w:r>
        <w:rPr>
          <w:rFonts w:hint="eastAsia"/>
          <w:sz w:val="18"/>
          <w:szCs w:val="18"/>
        </w:rPr>
        <w:t>联系</w:t>
      </w:r>
      <w:r>
        <w:rPr>
          <w:sz w:val="18"/>
          <w:szCs w:val="18"/>
        </w:rPr>
        <w:t>QQ</w:t>
      </w:r>
      <w:r>
        <w:rPr>
          <w:rFonts w:hint="eastAsia"/>
          <w:sz w:val="18"/>
          <w:szCs w:val="18"/>
        </w:rPr>
        <w:t>：</w:t>
      </w:r>
      <w:r>
        <w:rPr>
          <w:sz w:val="18"/>
          <w:szCs w:val="18"/>
        </w:rPr>
        <w:t>2782468779</w:t>
      </w:r>
      <w:r>
        <w:rPr>
          <w:sz w:val="18"/>
          <w:szCs w:val="18"/>
        </w:rPr>
        <w:br w:type="textWrapping"/>
      </w:r>
      <w:r>
        <w:rPr>
          <w:rFonts w:hint="eastAsia"/>
          <w:sz w:val="18"/>
          <w:szCs w:val="18"/>
        </w:rPr>
        <w:t>电子邮箱：</w:t>
      </w:r>
      <w:r>
        <w:rPr>
          <w:rFonts w:hint="eastAsia"/>
          <w:sz w:val="18"/>
          <w:szCs w:val="18"/>
          <w:lang w:val="en-US" w:eastAsia="zh-CN"/>
        </w:rPr>
        <w:t>info@genecarer.com</w:t>
      </w:r>
      <w:bookmarkStart w:id="2" w:name="_GoBack"/>
      <w:bookmarkEnd w:id="2"/>
    </w:p>
    <w:p w14:paraId="60850FE2">
      <w:pPr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公司官网：</w:t>
      </w:r>
      <w:r>
        <w:fldChar w:fldCharType="begin"/>
      </w:r>
      <w:r>
        <w:instrText xml:space="preserve"> HYPERLINK "https://www.genecarer.com/" </w:instrText>
      </w:r>
      <w:r>
        <w:fldChar w:fldCharType="separate"/>
      </w:r>
      <w:r>
        <w:rPr>
          <w:rStyle w:val="18"/>
          <w:sz w:val="18"/>
          <w:szCs w:val="18"/>
        </w:rPr>
        <w:t>https://www.genecarer.com/</w:t>
      </w:r>
      <w:r>
        <w:rPr>
          <w:rStyle w:val="18"/>
          <w:sz w:val="18"/>
          <w:szCs w:val="18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2D540">
    <w:pPr>
      <w:widowControl/>
      <w:kinsoku w:val="0"/>
      <w:autoSpaceDE w:val="0"/>
      <w:autoSpaceDN w:val="0"/>
      <w:adjustRightInd w:val="0"/>
      <w:snapToGrid w:val="0"/>
      <w:spacing w:before="78" w:after="0" w:line="230" w:lineRule="auto"/>
      <w:ind w:left="16"/>
      <w:jc w:val="center"/>
      <w:textAlignment w:val="baseline"/>
      <w:rPr>
        <w:rFonts w:hint="eastAsia"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</w:pPr>
    <w:r>
      <w:rPr>
        <w:rFonts w:hint="eastAsia"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  <w:t>基</w:t>
    </w:r>
    <w:r>
      <w:rPr>
        <w:rFonts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  <w:t>因修饰细胞（敲除、敲入、点突变）</w:t>
    </w:r>
    <w:r>
      <w:rPr>
        <w:rFonts w:hint="eastAsia"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  <w:t xml:space="preserve"> </w:t>
    </w:r>
    <w:r>
      <w:rPr>
        <w:rFonts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基础实验服务（动物实验、载体构建</w:t>
    </w:r>
    <w:r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）</w:t>
    </w:r>
  </w:p>
  <w:p w14:paraId="569BECC3">
    <w:pPr>
      <w:widowControl/>
      <w:kinsoku w:val="0"/>
      <w:autoSpaceDE w:val="0"/>
      <w:autoSpaceDN w:val="0"/>
      <w:adjustRightInd w:val="0"/>
      <w:snapToGrid w:val="0"/>
      <w:spacing w:before="78" w:after="0" w:line="230" w:lineRule="auto"/>
      <w:ind w:left="16"/>
      <w:jc w:val="center"/>
      <w:textAlignment w:val="baseline"/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14:ligatures w14:val="none"/>
      </w:rPr>
    </w:pPr>
    <w:r>
      <w:rPr>
        <w:rFonts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  <w:t>病毒包装（慢病毒</w:t>
    </w:r>
    <w:r>
      <w:rPr>
        <w:rFonts w:ascii="微软雅黑" w:hAnsi="微软雅黑" w:eastAsia="微软雅黑" w:cs="微软雅黑"/>
        <w:snapToGrid w:val="0"/>
        <w:color w:val="2E75B5"/>
        <w:spacing w:val="-2"/>
        <w:kern w:val="0"/>
        <w:sz w:val="18"/>
        <w:szCs w:val="18"/>
        <w:u w:val="single"/>
        <w14:ligatures w14:val="none"/>
      </w:rPr>
      <w:t>、非整合慢病毒、腺病毒、腺相关病毒</w:t>
    </w:r>
    <w:r>
      <w:rPr>
        <w:rFonts w:hint="eastAsia" w:ascii="微软雅黑" w:hAnsi="微软雅黑" w:eastAsia="微软雅黑" w:cs="微软雅黑"/>
        <w:snapToGrid w:val="0"/>
        <w:color w:val="2E75B5"/>
        <w:spacing w:val="-2"/>
        <w:kern w:val="0"/>
        <w:sz w:val="18"/>
        <w:szCs w:val="18"/>
        <w:u w:val="single"/>
        <w14:ligatures w14:val="none"/>
      </w:rPr>
      <w:t>、病毒样颗粒蛋白、脂质体纳米颗粒</w:t>
    </w:r>
    <w:r>
      <w:rPr>
        <w:rFonts w:ascii="微软雅黑" w:hAnsi="微软雅黑" w:eastAsia="微软雅黑" w:cs="微软雅黑"/>
        <w:snapToGrid w:val="0"/>
        <w:color w:val="2E75B5"/>
        <w:spacing w:val="-2"/>
        <w:kern w:val="0"/>
        <w:sz w:val="18"/>
        <w:szCs w:val="18"/>
        <w:u w:val="single"/>
        <w14:ligatures w14:val="none"/>
      </w:rPr>
      <w:t>）</w:t>
    </w:r>
    <w:r>
      <w:rPr>
        <w:rFonts w:ascii="微软雅黑" w:hAnsi="微软雅黑" w:eastAsia="微软雅黑" w:cs="微软雅黑"/>
        <w:snapToGrid w:val="0"/>
        <w:color w:val="2E75B5"/>
        <w:kern w:val="0"/>
        <w:sz w:val="18"/>
        <w:szCs w:val="18"/>
        <w14:ligatures w14:val="none"/>
      </w:rPr>
      <w:t xml:space="preserve"> </w:t>
    </w:r>
    <w:r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14:ligatures w14:val="none"/>
      </w:rPr>
      <w:t xml:space="preserve">                               </w:t>
    </w:r>
  </w:p>
  <w:p w14:paraId="36D6DFFD">
    <w:pPr>
      <w:widowControl/>
      <w:kinsoku w:val="0"/>
      <w:autoSpaceDE w:val="0"/>
      <w:autoSpaceDN w:val="0"/>
      <w:adjustRightInd w:val="0"/>
      <w:snapToGrid w:val="0"/>
      <w:spacing w:before="78" w:after="0" w:line="230" w:lineRule="auto"/>
      <w:ind w:left="16"/>
      <w:jc w:val="center"/>
      <w:textAlignment w:val="baseline"/>
      <w:rPr>
        <w:rFonts w:ascii="Arial" w:hAnsi="Arial" w:eastAsia="Arial" w:cs="Arial"/>
        <w:snapToGrid w:val="0"/>
        <w:color w:val="000000"/>
        <w:kern w:val="0"/>
        <w:sz w:val="21"/>
        <w:szCs w:val="21"/>
        <w14:ligatures w14:val="none"/>
      </w:rPr>
    </w:pPr>
    <w:r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试剂</w:t>
    </w:r>
    <w:r>
      <w:rPr>
        <w:rFonts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（</w:t>
    </w:r>
    <w:r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常规试剂</w:t>
    </w:r>
    <w:r>
      <w:rPr>
        <w:rFonts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、</w:t>
    </w:r>
    <w:r>
      <w:rPr>
        <w:rFonts w:hint="eastAsia" w:ascii="微软雅黑" w:hAnsi="微软雅黑" w:eastAsia="微软雅黑" w:cs="微软雅黑"/>
        <w:snapToGrid w:val="0"/>
        <w:color w:val="2E75B5"/>
        <w:kern w:val="0"/>
        <w:sz w:val="18"/>
        <w:szCs w:val="18"/>
        <w:u w:val="single"/>
        <w14:ligatures w14:val="none"/>
      </w:rPr>
      <w:t>感受态、基因敲除敲入点突变试剂盒、滴度检测试剂盒</w:t>
    </w:r>
    <w:r>
      <w:rPr>
        <w:rFonts w:ascii="微软雅黑" w:hAnsi="微软雅黑" w:eastAsia="微软雅黑" w:cs="微软雅黑"/>
        <w:snapToGrid w:val="0"/>
        <w:color w:val="2E75B5"/>
        <w:spacing w:val="-1"/>
        <w:kern w:val="0"/>
        <w:sz w:val="18"/>
        <w:szCs w:val="18"/>
        <w:u w:val="single"/>
        <w14:ligatures w14:val="none"/>
      </w:rPr>
      <w:t>）</w:t>
    </w:r>
  </w:p>
  <w:p w14:paraId="6C5BBD02">
    <w:pPr>
      <w:pStyle w:val="1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2DD9F">
    <w:pPr>
      <w:pStyle w:val="12"/>
      <w:rPr>
        <w:rFonts w:hint="eastAsia"/>
      </w:rPr>
    </w:pPr>
    <w:r>
      <w:drawing>
        <wp:inline distT="0" distB="0" distL="114300" distR="114300">
          <wp:extent cx="4179570" cy="325120"/>
          <wp:effectExtent l="0" t="0" r="0" b="0"/>
          <wp:docPr id="1099771929" name="图片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771929" name="图片 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3890" cy="3394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D66"/>
    <w:rsid w:val="002709CD"/>
    <w:rsid w:val="00353C88"/>
    <w:rsid w:val="00796D08"/>
    <w:rsid w:val="00806D66"/>
    <w:rsid w:val="009F79F2"/>
    <w:rsid w:val="00A30C6C"/>
    <w:rsid w:val="00DA3E2F"/>
    <w:rsid w:val="00EC18B2"/>
    <w:rsid w:val="00ED322B"/>
    <w:rsid w:val="3479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  <w:style w:type="table" w:customStyle="1" w:styleId="39">
    <w:name w:val="网格型浅色1"/>
    <w:basedOn w:val="15"/>
    <w:qFormat/>
    <w:uiPriority w:val="4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</w:style>
  <w:style w:type="table" w:customStyle="1" w:styleId="40">
    <w:name w:val="网格型浅色12"/>
    <w:basedOn w:val="15"/>
    <w:qFormat/>
    <w:uiPriority w:val="4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</w:style>
  <w:style w:type="table" w:customStyle="1" w:styleId="41">
    <w:name w:val="网格型浅色11"/>
    <w:basedOn w:val="15"/>
    <w:qFormat/>
    <w:uiPriority w:val="40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482</Words>
  <Characters>833</Characters>
  <Lines>24</Lines>
  <Paragraphs>6</Paragraphs>
  <TotalTime>20</TotalTime>
  <ScaleCrop>false</ScaleCrop>
  <LinksUpToDate>false</LinksUpToDate>
  <CharactersWithSpaces>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2025-12-01T08:09:00Z</dcterms:created>
  <dc:creator>yangyang li</dc:creator>
  <cp:lastModifiedBy>企业用户_351012688</cp:lastModifiedBy>
  <dcterms:modified xsi:type="dcterms:W3CDTF">2026-07-27T06:43:23Z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eyJoZGlkIjoiNTQzNjIyN2ZhMmJhYjgyYWM5YmY5YWNiNTUzYWVjMjEiLCJ1c2VySWQiOiIxNTc2NzUxNzY5In0=</vt:lpwstr>
  </property>
  <property fmtid="{D5CDD505-2E9C-101B-9397-08002B2CF9AE}" pid="3" name="KSOProductBuildVer">
    <vt:lpwstr>2052-12.1.0.26895</vt:lpwstr>
  </property>
  <property fmtid="{D5CDD505-2E9C-101B-9397-08002B2CF9AE}" pid="4" name="ICV">
    <vt:lpwstr>5BF9E81504C446AEAF139696064D3DCB_13</vt:lpwstr>
  </property>
</Properties>
</file>